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76D52" w14:textId="6A7AC8C6" w:rsidR="00F73006" w:rsidRPr="000C1ADE" w:rsidRDefault="000C1ADE" w:rsidP="00EA0650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1ADE">
        <w:rPr>
          <w:rFonts w:ascii="Arial" w:hAnsi="Arial" w:cs="Arial"/>
          <w:b/>
          <w:bCs/>
          <w:sz w:val="24"/>
          <w:szCs w:val="24"/>
        </w:rPr>
        <w:t>The Federal Courthouse Door Opens At Last!</w:t>
      </w:r>
    </w:p>
    <w:p w14:paraId="40668B77" w14:textId="42A4DDE9" w:rsidR="000C1ADE" w:rsidRPr="000C1ADE" w:rsidRDefault="000C1ADE" w:rsidP="00EA065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0C1ADE">
        <w:rPr>
          <w:rFonts w:ascii="Arial" w:hAnsi="Arial" w:cs="Arial"/>
          <w:sz w:val="24"/>
          <w:szCs w:val="24"/>
        </w:rPr>
        <w:t>By R. S. Radford*</w:t>
      </w:r>
    </w:p>
    <w:p w14:paraId="30349DBB" w14:textId="5B128535" w:rsidR="001A194A" w:rsidRDefault="000C1ADE" w:rsidP="00EA065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47700">
        <w:rPr>
          <w:rFonts w:ascii="Arial" w:hAnsi="Arial" w:cs="Arial"/>
          <w:sz w:val="24"/>
          <w:szCs w:val="24"/>
        </w:rPr>
        <w:t xml:space="preserve">Justice denied, or only justice delayed? </w:t>
      </w:r>
      <w:r w:rsidR="00CC1450">
        <w:rPr>
          <w:rFonts w:ascii="Arial" w:hAnsi="Arial" w:cs="Arial"/>
          <w:sz w:val="24"/>
          <w:szCs w:val="24"/>
        </w:rPr>
        <w:t xml:space="preserve">After more than </w:t>
      </w:r>
      <w:r w:rsidR="009A1D3F">
        <w:rPr>
          <w:rFonts w:ascii="Arial" w:hAnsi="Arial" w:cs="Arial"/>
          <w:sz w:val="24"/>
          <w:szCs w:val="24"/>
        </w:rPr>
        <w:t xml:space="preserve">three decades, property owners have finally regained the right to sue </w:t>
      </w:r>
      <w:r w:rsidR="00862E08">
        <w:rPr>
          <w:rFonts w:ascii="Arial" w:hAnsi="Arial" w:cs="Arial"/>
          <w:sz w:val="24"/>
          <w:szCs w:val="24"/>
        </w:rPr>
        <w:t>for a taking of their property in federal court</w:t>
      </w:r>
      <w:r w:rsidR="005656E5">
        <w:rPr>
          <w:rFonts w:ascii="Arial" w:hAnsi="Arial" w:cs="Arial"/>
          <w:sz w:val="24"/>
          <w:szCs w:val="24"/>
        </w:rPr>
        <w:t xml:space="preserve">! </w:t>
      </w:r>
      <w:r w:rsidR="00C3043D">
        <w:rPr>
          <w:rFonts w:ascii="Arial" w:hAnsi="Arial" w:cs="Arial"/>
          <w:sz w:val="24"/>
          <w:szCs w:val="24"/>
        </w:rPr>
        <w:t>If you’re wonder</w:t>
      </w:r>
      <w:r w:rsidR="000D238A">
        <w:rPr>
          <w:rFonts w:ascii="Arial" w:hAnsi="Arial" w:cs="Arial"/>
          <w:sz w:val="24"/>
          <w:szCs w:val="24"/>
        </w:rPr>
        <w:t xml:space="preserve">ing how this could ever have </w:t>
      </w:r>
      <w:r w:rsidR="0020690D">
        <w:rPr>
          <w:rFonts w:ascii="Arial" w:hAnsi="Arial" w:cs="Arial"/>
          <w:sz w:val="24"/>
          <w:szCs w:val="24"/>
        </w:rPr>
        <w:t xml:space="preserve">been </w:t>
      </w:r>
      <w:r w:rsidR="00683250">
        <w:rPr>
          <w:rFonts w:ascii="Arial" w:hAnsi="Arial" w:cs="Arial"/>
          <w:sz w:val="24"/>
          <w:szCs w:val="24"/>
        </w:rPr>
        <w:t>in question</w:t>
      </w:r>
      <w:r w:rsidR="0020690D">
        <w:rPr>
          <w:rFonts w:ascii="Arial" w:hAnsi="Arial" w:cs="Arial"/>
          <w:sz w:val="24"/>
          <w:szCs w:val="24"/>
        </w:rPr>
        <w:t xml:space="preserve">, a little </w:t>
      </w:r>
      <w:r w:rsidR="001A194A">
        <w:rPr>
          <w:rFonts w:ascii="Arial" w:hAnsi="Arial" w:cs="Arial"/>
          <w:sz w:val="24"/>
          <w:szCs w:val="24"/>
        </w:rPr>
        <w:t>Supreme Court history is in order.</w:t>
      </w:r>
    </w:p>
    <w:p w14:paraId="2CD0A31E" w14:textId="137F950B" w:rsidR="00114322" w:rsidRDefault="00C1199A" w:rsidP="00EA0650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Until 1978</w:t>
      </w:r>
      <w:r w:rsidR="00114322">
        <w:rPr>
          <w:rFonts w:ascii="Arial" w:hAnsi="Arial" w:cs="Arial"/>
          <w:sz w:val="24"/>
          <w:szCs w:val="24"/>
        </w:rPr>
        <w:t>, the Court had no real standards for telling when government regulations become so onerous that they amount to a taking for which compensation is required</w:t>
      </w:r>
      <w:r w:rsidR="00AA3C28">
        <w:rPr>
          <w:rFonts w:ascii="Arial" w:hAnsi="Arial" w:cs="Arial"/>
          <w:sz w:val="24"/>
          <w:szCs w:val="24"/>
        </w:rPr>
        <w:t xml:space="preserve"> under the Fifth Amendmen</w:t>
      </w:r>
      <w:r w:rsidR="004C20B3">
        <w:rPr>
          <w:rFonts w:ascii="Arial" w:hAnsi="Arial" w:cs="Arial"/>
          <w:sz w:val="24"/>
          <w:szCs w:val="24"/>
        </w:rPr>
        <w:t>t</w:t>
      </w:r>
      <w:r w:rsidR="00114322">
        <w:rPr>
          <w:rFonts w:ascii="Arial" w:hAnsi="Arial" w:cs="Arial"/>
          <w:sz w:val="24"/>
          <w:szCs w:val="24"/>
        </w:rPr>
        <w:t xml:space="preserve">. A landmark decision handed down that year, </w:t>
      </w:r>
      <w:r w:rsidR="00114322" w:rsidRPr="00114322">
        <w:rPr>
          <w:rFonts w:ascii="Arial" w:hAnsi="Arial" w:cs="Arial"/>
          <w:i/>
          <w:iCs/>
          <w:sz w:val="24"/>
          <w:szCs w:val="24"/>
        </w:rPr>
        <w:t xml:space="preserve">Penn Central Transportation Co. v. City </w:t>
      </w:r>
      <w:r w:rsidR="00114322" w:rsidRPr="00114322">
        <w:rPr>
          <w:rFonts w:ascii="Arial" w:hAnsi="Arial" w:cs="Arial"/>
          <w:i/>
          <w:iCs/>
          <w:sz w:val="24"/>
          <w:szCs w:val="24"/>
        </w:rPr>
        <w:t>of New York</w:t>
      </w:r>
      <w:r w:rsidR="00114322">
        <w:rPr>
          <w:rFonts w:ascii="Arial" w:hAnsi="Arial" w:cs="Arial"/>
          <w:sz w:val="24"/>
          <w:szCs w:val="24"/>
        </w:rPr>
        <w:t>, was intended to remedy that problem. The three “</w:t>
      </w:r>
      <w:r w:rsidR="00114322" w:rsidRPr="00114322">
        <w:rPr>
          <w:rFonts w:ascii="Arial" w:hAnsi="Arial" w:cs="Arial"/>
          <w:i/>
          <w:iCs/>
          <w:sz w:val="24"/>
          <w:szCs w:val="24"/>
        </w:rPr>
        <w:t>Penn Central</w:t>
      </w:r>
      <w:r w:rsidR="00114322">
        <w:rPr>
          <w:rFonts w:ascii="Arial" w:hAnsi="Arial" w:cs="Arial"/>
          <w:sz w:val="24"/>
          <w:szCs w:val="24"/>
        </w:rPr>
        <w:t xml:space="preserve"> factors” – the character of the regulation, </w:t>
      </w:r>
      <w:r w:rsidR="009E1E88">
        <w:rPr>
          <w:rFonts w:ascii="Arial" w:hAnsi="Arial" w:cs="Arial"/>
          <w:sz w:val="24"/>
          <w:szCs w:val="24"/>
        </w:rPr>
        <w:t>its</w:t>
      </w:r>
      <w:r w:rsidR="00114322">
        <w:rPr>
          <w:rFonts w:ascii="Arial" w:hAnsi="Arial" w:cs="Arial"/>
          <w:sz w:val="24"/>
          <w:szCs w:val="24"/>
        </w:rPr>
        <w:t xml:space="preserve"> economic impact, and the owner’s investment-backed expectations – have proven notoriously </w:t>
      </w:r>
      <w:r w:rsidR="009E1E88">
        <w:rPr>
          <w:rFonts w:ascii="Arial" w:hAnsi="Arial" w:cs="Arial"/>
          <w:sz w:val="24"/>
          <w:szCs w:val="24"/>
        </w:rPr>
        <w:t>difficult to pin down in any given case, but at least they are better than no standards at all.</w:t>
      </w:r>
    </w:p>
    <w:p w14:paraId="6DCA7F53" w14:textId="4ABD3B17" w:rsidR="000C1ADE" w:rsidRPr="000C1ADE" w:rsidRDefault="009E1E88" w:rsidP="00EA0650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in 1985</w:t>
      </w:r>
      <w:r w:rsidR="000C1ADE">
        <w:rPr>
          <w:rFonts w:ascii="Arial" w:hAnsi="Arial" w:cs="Arial"/>
          <w:sz w:val="24"/>
          <w:szCs w:val="24"/>
        </w:rPr>
        <w:t xml:space="preserve">, the Court announced one of the most bizarre and unjustifiable procedural rules </w:t>
      </w:r>
      <w:r w:rsidR="00C1199A">
        <w:rPr>
          <w:rFonts w:ascii="Arial" w:hAnsi="Arial" w:cs="Arial"/>
          <w:sz w:val="24"/>
          <w:szCs w:val="24"/>
        </w:rPr>
        <w:t>of all time: a citizen whose property</w:t>
      </w:r>
      <w:r w:rsidR="00341000">
        <w:rPr>
          <w:rFonts w:ascii="Arial" w:hAnsi="Arial" w:cs="Arial"/>
          <w:sz w:val="24"/>
          <w:szCs w:val="24"/>
        </w:rPr>
        <w:t xml:space="preserve"> </w:t>
      </w:r>
      <w:r w:rsidR="00275D26">
        <w:rPr>
          <w:rFonts w:ascii="Arial" w:hAnsi="Arial" w:cs="Arial"/>
          <w:sz w:val="24"/>
          <w:szCs w:val="24"/>
        </w:rPr>
        <w:t>i</w:t>
      </w:r>
      <w:r w:rsidR="00341000">
        <w:rPr>
          <w:rFonts w:ascii="Arial" w:hAnsi="Arial" w:cs="Arial"/>
          <w:sz w:val="24"/>
          <w:szCs w:val="24"/>
        </w:rPr>
        <w:t xml:space="preserve">s “taken” by local regulations </w:t>
      </w:r>
      <w:r w:rsidR="00E63604">
        <w:rPr>
          <w:rFonts w:ascii="Arial" w:hAnsi="Arial" w:cs="Arial"/>
          <w:sz w:val="24"/>
          <w:szCs w:val="24"/>
        </w:rPr>
        <w:t>c</w:t>
      </w:r>
      <w:r w:rsidR="00190C55">
        <w:rPr>
          <w:rFonts w:ascii="Arial" w:hAnsi="Arial" w:cs="Arial"/>
          <w:sz w:val="24"/>
          <w:szCs w:val="24"/>
        </w:rPr>
        <w:t xml:space="preserve">ould </w:t>
      </w:r>
      <w:r w:rsidR="00841E60">
        <w:rPr>
          <w:rFonts w:ascii="Arial" w:hAnsi="Arial" w:cs="Arial"/>
          <w:sz w:val="24"/>
          <w:szCs w:val="24"/>
        </w:rPr>
        <w:t xml:space="preserve">not sue for compensation in federal court! </w:t>
      </w:r>
      <w:r w:rsidR="00F42432">
        <w:rPr>
          <w:rFonts w:ascii="Arial" w:hAnsi="Arial" w:cs="Arial"/>
          <w:sz w:val="24"/>
          <w:szCs w:val="24"/>
        </w:rPr>
        <w:t xml:space="preserve">In </w:t>
      </w:r>
      <w:r w:rsidR="00F42432" w:rsidRPr="002D31E2">
        <w:rPr>
          <w:rFonts w:ascii="Arial" w:hAnsi="Arial" w:cs="Arial"/>
          <w:i/>
          <w:iCs/>
          <w:sz w:val="24"/>
          <w:szCs w:val="24"/>
        </w:rPr>
        <w:t xml:space="preserve">Williamson County Regional Planning Commission v. </w:t>
      </w:r>
      <w:r w:rsidR="0004242D" w:rsidRPr="002D31E2">
        <w:rPr>
          <w:rFonts w:ascii="Arial" w:hAnsi="Arial" w:cs="Arial"/>
          <w:i/>
          <w:iCs/>
          <w:sz w:val="24"/>
          <w:szCs w:val="24"/>
        </w:rPr>
        <w:t xml:space="preserve">Hamilton Bank of Johnson City, </w:t>
      </w:r>
      <w:r w:rsidR="0004242D">
        <w:rPr>
          <w:rFonts w:ascii="Arial" w:hAnsi="Arial" w:cs="Arial"/>
          <w:sz w:val="24"/>
          <w:szCs w:val="24"/>
        </w:rPr>
        <w:t>the Court ruled that</w:t>
      </w:r>
      <w:r w:rsidR="00E63604">
        <w:rPr>
          <w:rFonts w:ascii="Arial" w:hAnsi="Arial" w:cs="Arial"/>
          <w:sz w:val="24"/>
          <w:szCs w:val="24"/>
        </w:rPr>
        <w:t xml:space="preserve"> – </w:t>
      </w:r>
      <w:r w:rsidR="00727DA9">
        <w:rPr>
          <w:rFonts w:ascii="Arial" w:hAnsi="Arial" w:cs="Arial"/>
          <w:sz w:val="24"/>
          <w:szCs w:val="24"/>
        </w:rPr>
        <w:t>de</w:t>
      </w:r>
      <w:r w:rsidR="003509F6">
        <w:rPr>
          <w:rFonts w:ascii="Arial" w:hAnsi="Arial" w:cs="Arial"/>
          <w:sz w:val="24"/>
          <w:szCs w:val="24"/>
        </w:rPr>
        <w:t xml:space="preserve">spite the fact that </w:t>
      </w:r>
      <w:r w:rsidR="00727DA9">
        <w:rPr>
          <w:rFonts w:ascii="Arial" w:hAnsi="Arial" w:cs="Arial"/>
          <w:sz w:val="24"/>
          <w:szCs w:val="24"/>
        </w:rPr>
        <w:t>a takings</w:t>
      </w:r>
      <w:r w:rsidR="003509F6">
        <w:rPr>
          <w:rFonts w:ascii="Arial" w:hAnsi="Arial" w:cs="Arial"/>
          <w:sz w:val="24"/>
          <w:szCs w:val="24"/>
        </w:rPr>
        <w:t xml:space="preserve"> claim arises under the U.S. </w:t>
      </w:r>
      <w:r w:rsidR="006C006F">
        <w:rPr>
          <w:rFonts w:ascii="Arial" w:hAnsi="Arial" w:cs="Arial"/>
          <w:sz w:val="24"/>
          <w:szCs w:val="24"/>
        </w:rPr>
        <w:t>Constitution and is normally brought forward under section 1983 of the Civil Rights Act</w:t>
      </w:r>
      <w:r w:rsidR="002D31E2">
        <w:rPr>
          <w:rFonts w:ascii="Arial" w:hAnsi="Arial" w:cs="Arial"/>
          <w:sz w:val="24"/>
          <w:szCs w:val="24"/>
        </w:rPr>
        <w:t xml:space="preserve"> </w:t>
      </w:r>
      <w:r w:rsidR="0027785F">
        <w:rPr>
          <w:rFonts w:ascii="Arial" w:hAnsi="Arial" w:cs="Arial"/>
          <w:sz w:val="24"/>
          <w:szCs w:val="24"/>
        </w:rPr>
        <w:t>–</w:t>
      </w:r>
      <w:r w:rsidR="006C006F">
        <w:rPr>
          <w:rFonts w:ascii="Arial" w:hAnsi="Arial" w:cs="Arial"/>
          <w:sz w:val="24"/>
          <w:szCs w:val="24"/>
        </w:rPr>
        <w:t xml:space="preserve"> </w:t>
      </w:r>
      <w:r w:rsidR="0027785F">
        <w:rPr>
          <w:rFonts w:ascii="Arial" w:hAnsi="Arial" w:cs="Arial"/>
          <w:sz w:val="24"/>
          <w:szCs w:val="24"/>
        </w:rPr>
        <w:t xml:space="preserve">no </w:t>
      </w:r>
      <w:r w:rsidR="0027785F" w:rsidRPr="00D83A40">
        <w:rPr>
          <w:rFonts w:ascii="Arial" w:hAnsi="Arial" w:cs="Arial"/>
          <w:i/>
          <w:iCs/>
          <w:sz w:val="24"/>
          <w:szCs w:val="24"/>
        </w:rPr>
        <w:t>federa</w:t>
      </w:r>
      <w:r w:rsidR="0027785F">
        <w:rPr>
          <w:rFonts w:ascii="Arial" w:hAnsi="Arial" w:cs="Arial"/>
          <w:sz w:val="24"/>
          <w:szCs w:val="24"/>
        </w:rPr>
        <w:t>l lawsuit can be filed until the property owner</w:t>
      </w:r>
      <w:r w:rsidR="00D83A40">
        <w:rPr>
          <w:rFonts w:ascii="Arial" w:hAnsi="Arial" w:cs="Arial"/>
          <w:sz w:val="24"/>
          <w:szCs w:val="24"/>
        </w:rPr>
        <w:t xml:space="preserve"> has </w:t>
      </w:r>
      <w:r w:rsidR="00E43640">
        <w:rPr>
          <w:rFonts w:ascii="Arial" w:hAnsi="Arial" w:cs="Arial"/>
          <w:sz w:val="24"/>
          <w:szCs w:val="24"/>
        </w:rPr>
        <w:t xml:space="preserve">sought and been denied </w:t>
      </w:r>
      <w:r w:rsidR="00D83A40">
        <w:rPr>
          <w:rFonts w:ascii="Arial" w:hAnsi="Arial" w:cs="Arial"/>
          <w:sz w:val="24"/>
          <w:szCs w:val="24"/>
        </w:rPr>
        <w:t xml:space="preserve">compensation in </w:t>
      </w:r>
      <w:r w:rsidR="00D83A40" w:rsidRPr="00E43640">
        <w:rPr>
          <w:rFonts w:ascii="Arial" w:hAnsi="Arial" w:cs="Arial"/>
          <w:i/>
          <w:iCs/>
          <w:sz w:val="24"/>
          <w:szCs w:val="24"/>
        </w:rPr>
        <w:t xml:space="preserve">state </w:t>
      </w:r>
      <w:r w:rsidR="00D83A40">
        <w:rPr>
          <w:rFonts w:ascii="Arial" w:hAnsi="Arial" w:cs="Arial"/>
          <w:sz w:val="24"/>
          <w:szCs w:val="24"/>
        </w:rPr>
        <w:t>court.</w:t>
      </w:r>
    </w:p>
    <w:p w14:paraId="37C102B0" w14:textId="3ADF9E7E" w:rsidR="009E1E88" w:rsidRDefault="00C66497" w:rsidP="00EA065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stated rationale for this new rule was, plainly speaking, nonsense</w:t>
      </w:r>
      <w:r w:rsidR="00A93196">
        <w:rPr>
          <w:rFonts w:ascii="Arial" w:hAnsi="Arial" w:cs="Arial"/>
          <w:sz w:val="24"/>
          <w:szCs w:val="24"/>
        </w:rPr>
        <w:t xml:space="preserve">, and the </w:t>
      </w:r>
      <w:r w:rsidR="00FB14DD" w:rsidRPr="00356424">
        <w:rPr>
          <w:rFonts w:ascii="Arial" w:hAnsi="Arial" w:cs="Arial"/>
          <w:i/>
          <w:iCs/>
          <w:sz w:val="24"/>
          <w:szCs w:val="24"/>
        </w:rPr>
        <w:t>Williamson County</w:t>
      </w:r>
      <w:r w:rsidR="00FB14DD">
        <w:rPr>
          <w:rFonts w:ascii="Arial" w:hAnsi="Arial" w:cs="Arial"/>
          <w:sz w:val="24"/>
          <w:szCs w:val="24"/>
        </w:rPr>
        <w:t xml:space="preserve"> </w:t>
      </w:r>
      <w:r w:rsidR="00A93196">
        <w:rPr>
          <w:rFonts w:ascii="Arial" w:hAnsi="Arial" w:cs="Arial"/>
          <w:sz w:val="24"/>
          <w:szCs w:val="24"/>
        </w:rPr>
        <w:t xml:space="preserve">Court had apparently not even thought through </w:t>
      </w:r>
      <w:r w:rsidR="00014548">
        <w:rPr>
          <w:rFonts w:ascii="Arial" w:hAnsi="Arial" w:cs="Arial"/>
          <w:sz w:val="24"/>
          <w:szCs w:val="24"/>
        </w:rPr>
        <w:t xml:space="preserve">the </w:t>
      </w:r>
      <w:r w:rsidR="00356424">
        <w:rPr>
          <w:rFonts w:ascii="Arial" w:hAnsi="Arial" w:cs="Arial"/>
          <w:sz w:val="24"/>
          <w:szCs w:val="24"/>
        </w:rPr>
        <w:t xml:space="preserve">foreseeable </w:t>
      </w:r>
      <w:r w:rsidR="00014548">
        <w:rPr>
          <w:rFonts w:ascii="Arial" w:hAnsi="Arial" w:cs="Arial"/>
          <w:sz w:val="24"/>
          <w:szCs w:val="24"/>
        </w:rPr>
        <w:t>conse</w:t>
      </w:r>
      <w:r w:rsidR="005E048E">
        <w:rPr>
          <w:rFonts w:ascii="Arial" w:hAnsi="Arial" w:cs="Arial"/>
          <w:sz w:val="24"/>
          <w:szCs w:val="24"/>
        </w:rPr>
        <w:t>q</w:t>
      </w:r>
      <w:r w:rsidR="00014548">
        <w:rPr>
          <w:rFonts w:ascii="Arial" w:hAnsi="Arial" w:cs="Arial"/>
          <w:sz w:val="24"/>
          <w:szCs w:val="24"/>
        </w:rPr>
        <w:t xml:space="preserve">uences of the </w:t>
      </w:r>
      <w:r w:rsidR="00FB14DD">
        <w:rPr>
          <w:rFonts w:ascii="Arial" w:hAnsi="Arial" w:cs="Arial"/>
          <w:sz w:val="24"/>
          <w:szCs w:val="24"/>
        </w:rPr>
        <w:t>doctrine it created</w:t>
      </w:r>
      <w:r w:rsidR="00CF57FA">
        <w:rPr>
          <w:rFonts w:ascii="Arial" w:hAnsi="Arial" w:cs="Arial"/>
          <w:sz w:val="24"/>
          <w:szCs w:val="24"/>
        </w:rPr>
        <w:t xml:space="preserve">. </w:t>
      </w:r>
      <w:r w:rsidR="00F526E7">
        <w:rPr>
          <w:rFonts w:ascii="Arial" w:hAnsi="Arial" w:cs="Arial"/>
          <w:sz w:val="24"/>
          <w:szCs w:val="24"/>
        </w:rPr>
        <w:t>For t</w:t>
      </w:r>
      <w:r w:rsidR="00B650C9">
        <w:rPr>
          <w:rFonts w:ascii="Arial" w:hAnsi="Arial" w:cs="Arial"/>
          <w:sz w:val="24"/>
          <w:szCs w:val="24"/>
        </w:rPr>
        <w:t xml:space="preserve">he effect of </w:t>
      </w:r>
      <w:r w:rsidR="00273D53" w:rsidRPr="00F526E7">
        <w:rPr>
          <w:rFonts w:ascii="Arial" w:hAnsi="Arial" w:cs="Arial"/>
          <w:i/>
          <w:iCs/>
          <w:sz w:val="24"/>
          <w:szCs w:val="24"/>
        </w:rPr>
        <w:t>Williamson</w:t>
      </w:r>
      <w:r w:rsidR="00B650C9" w:rsidRPr="00F526E7">
        <w:rPr>
          <w:rFonts w:ascii="Arial" w:hAnsi="Arial" w:cs="Arial"/>
          <w:i/>
          <w:iCs/>
          <w:sz w:val="24"/>
          <w:szCs w:val="24"/>
        </w:rPr>
        <w:t xml:space="preserve"> County</w:t>
      </w:r>
      <w:r w:rsidR="00B650C9">
        <w:rPr>
          <w:rFonts w:ascii="Arial" w:hAnsi="Arial" w:cs="Arial"/>
          <w:sz w:val="24"/>
          <w:szCs w:val="24"/>
        </w:rPr>
        <w:t xml:space="preserve"> was not </w:t>
      </w:r>
      <w:r w:rsidR="00B650C9">
        <w:rPr>
          <w:rFonts w:ascii="Arial" w:hAnsi="Arial" w:cs="Arial"/>
          <w:sz w:val="24"/>
          <w:szCs w:val="24"/>
        </w:rPr>
        <w:lastRenderedPageBreak/>
        <w:t xml:space="preserve">just to </w:t>
      </w:r>
      <w:r w:rsidR="00F526E7">
        <w:rPr>
          <w:rFonts w:ascii="Arial" w:hAnsi="Arial" w:cs="Arial"/>
          <w:sz w:val="24"/>
          <w:szCs w:val="24"/>
        </w:rPr>
        <w:t>bar property owners from federal court until they had “ripened” their claims through state litigation, as the decision plainly stated. Rather</w:t>
      </w:r>
      <w:r w:rsidR="00390D9F">
        <w:rPr>
          <w:rFonts w:ascii="Arial" w:hAnsi="Arial" w:cs="Arial"/>
          <w:sz w:val="24"/>
          <w:szCs w:val="24"/>
        </w:rPr>
        <w:t xml:space="preserve">, it barred them from federal court forever! </w:t>
      </w:r>
      <w:r w:rsidR="00675C8A">
        <w:rPr>
          <w:rFonts w:ascii="Arial" w:hAnsi="Arial" w:cs="Arial"/>
          <w:sz w:val="24"/>
          <w:szCs w:val="24"/>
        </w:rPr>
        <w:t xml:space="preserve">As the Supreme Court acknowledged many years later in the </w:t>
      </w:r>
      <w:r w:rsidR="00675C8A" w:rsidRPr="005E048E">
        <w:rPr>
          <w:rFonts w:ascii="Arial" w:hAnsi="Arial" w:cs="Arial"/>
          <w:i/>
          <w:iCs/>
          <w:sz w:val="24"/>
          <w:szCs w:val="24"/>
        </w:rPr>
        <w:t>San Remo Hotel</w:t>
      </w:r>
      <w:r w:rsidR="00675C8A">
        <w:rPr>
          <w:rFonts w:ascii="Arial" w:hAnsi="Arial" w:cs="Arial"/>
          <w:sz w:val="24"/>
          <w:szCs w:val="24"/>
        </w:rPr>
        <w:t xml:space="preserve"> case, </w:t>
      </w:r>
      <w:r w:rsidR="00A940BC">
        <w:rPr>
          <w:rFonts w:ascii="Arial" w:hAnsi="Arial" w:cs="Arial"/>
          <w:sz w:val="24"/>
          <w:szCs w:val="24"/>
        </w:rPr>
        <w:t xml:space="preserve">a </w:t>
      </w:r>
      <w:r w:rsidR="002D7B98">
        <w:rPr>
          <w:rFonts w:ascii="Arial" w:hAnsi="Arial" w:cs="Arial"/>
          <w:sz w:val="24"/>
          <w:szCs w:val="24"/>
        </w:rPr>
        <w:t xml:space="preserve">final </w:t>
      </w:r>
      <w:r w:rsidR="00A940BC">
        <w:rPr>
          <w:rFonts w:ascii="Arial" w:hAnsi="Arial" w:cs="Arial"/>
          <w:sz w:val="24"/>
          <w:szCs w:val="24"/>
        </w:rPr>
        <w:t xml:space="preserve">decision from a state court </w:t>
      </w:r>
      <w:r w:rsidR="002D7B98">
        <w:rPr>
          <w:rFonts w:ascii="Arial" w:hAnsi="Arial" w:cs="Arial"/>
          <w:sz w:val="24"/>
          <w:szCs w:val="24"/>
        </w:rPr>
        <w:t xml:space="preserve">normally </w:t>
      </w:r>
      <w:r w:rsidR="00A940BC">
        <w:rPr>
          <w:rFonts w:ascii="Arial" w:hAnsi="Arial" w:cs="Arial"/>
          <w:sz w:val="24"/>
          <w:szCs w:val="24"/>
        </w:rPr>
        <w:t xml:space="preserve">precludes any further litigation of the same </w:t>
      </w:r>
      <w:r w:rsidR="002D7B98">
        <w:rPr>
          <w:rFonts w:ascii="Arial" w:hAnsi="Arial" w:cs="Arial"/>
          <w:sz w:val="24"/>
          <w:szCs w:val="24"/>
        </w:rPr>
        <w:t xml:space="preserve">issue in </w:t>
      </w:r>
      <w:r w:rsidR="002D7B98" w:rsidRPr="005E048E">
        <w:rPr>
          <w:rFonts w:ascii="Arial" w:hAnsi="Arial" w:cs="Arial"/>
          <w:i/>
          <w:iCs/>
          <w:sz w:val="24"/>
          <w:szCs w:val="24"/>
        </w:rPr>
        <w:t>any</w:t>
      </w:r>
      <w:r w:rsidR="002D7B98">
        <w:rPr>
          <w:rFonts w:ascii="Arial" w:hAnsi="Arial" w:cs="Arial"/>
          <w:sz w:val="24"/>
          <w:szCs w:val="24"/>
        </w:rPr>
        <w:t xml:space="preserve"> court</w:t>
      </w:r>
      <w:r w:rsidR="005E048E">
        <w:rPr>
          <w:rFonts w:ascii="Arial" w:hAnsi="Arial" w:cs="Arial"/>
          <w:sz w:val="24"/>
          <w:szCs w:val="24"/>
        </w:rPr>
        <w:t>, sta</w:t>
      </w:r>
      <w:r w:rsidR="0054047C">
        <w:rPr>
          <w:rFonts w:ascii="Arial" w:hAnsi="Arial" w:cs="Arial"/>
          <w:sz w:val="24"/>
          <w:szCs w:val="24"/>
        </w:rPr>
        <w:t>te or federal</w:t>
      </w:r>
      <w:r w:rsidR="002D7B98">
        <w:rPr>
          <w:rFonts w:ascii="Arial" w:hAnsi="Arial" w:cs="Arial"/>
          <w:sz w:val="24"/>
          <w:szCs w:val="24"/>
        </w:rPr>
        <w:t>.</w:t>
      </w:r>
    </w:p>
    <w:p w14:paraId="469C9EC1" w14:textId="314B200A" w:rsidR="0054047C" w:rsidRDefault="0054047C" w:rsidP="00EA065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Scores of petitions were filed over the years</w:t>
      </w:r>
      <w:r w:rsidR="00A93EF4">
        <w:rPr>
          <w:rFonts w:ascii="Arial" w:hAnsi="Arial" w:cs="Arial"/>
          <w:sz w:val="24"/>
          <w:szCs w:val="24"/>
        </w:rPr>
        <w:t xml:space="preserve">, asking the Court to reconsider </w:t>
      </w:r>
      <w:r w:rsidR="00A93EF4" w:rsidRPr="00F66444">
        <w:rPr>
          <w:rFonts w:ascii="Arial" w:hAnsi="Arial" w:cs="Arial"/>
          <w:i/>
          <w:iCs/>
          <w:sz w:val="24"/>
          <w:szCs w:val="24"/>
        </w:rPr>
        <w:t>Williamson County</w:t>
      </w:r>
      <w:r w:rsidR="00A93EF4">
        <w:rPr>
          <w:rFonts w:ascii="Arial" w:hAnsi="Arial" w:cs="Arial"/>
          <w:sz w:val="24"/>
          <w:szCs w:val="24"/>
        </w:rPr>
        <w:t xml:space="preserve"> in view of its </w:t>
      </w:r>
      <w:r w:rsidR="00077086">
        <w:rPr>
          <w:rFonts w:ascii="Arial" w:hAnsi="Arial" w:cs="Arial"/>
          <w:sz w:val="24"/>
          <w:szCs w:val="24"/>
        </w:rPr>
        <w:t xml:space="preserve">lack of doctrinal basis </w:t>
      </w:r>
      <w:r w:rsidR="00F66444">
        <w:rPr>
          <w:rFonts w:ascii="Arial" w:hAnsi="Arial" w:cs="Arial"/>
          <w:sz w:val="24"/>
          <w:szCs w:val="24"/>
        </w:rPr>
        <w:t xml:space="preserve">and its devastating effect on property owners. Finally, one such opinion was granted last year, </w:t>
      </w:r>
      <w:r w:rsidR="005D6524">
        <w:rPr>
          <w:rFonts w:ascii="Arial" w:hAnsi="Arial" w:cs="Arial"/>
          <w:sz w:val="24"/>
          <w:szCs w:val="24"/>
        </w:rPr>
        <w:t xml:space="preserve">and on June 21, 2019, </w:t>
      </w:r>
      <w:r w:rsidR="005D6524" w:rsidRPr="005D6524">
        <w:rPr>
          <w:rFonts w:ascii="Arial" w:hAnsi="Arial" w:cs="Arial"/>
          <w:i/>
          <w:iCs/>
          <w:sz w:val="24"/>
          <w:szCs w:val="24"/>
        </w:rPr>
        <w:t>Williamson County</w:t>
      </w:r>
      <w:r w:rsidR="005D6524">
        <w:rPr>
          <w:rFonts w:ascii="Arial" w:hAnsi="Arial" w:cs="Arial"/>
          <w:sz w:val="24"/>
          <w:szCs w:val="24"/>
        </w:rPr>
        <w:t xml:space="preserve"> was struck down!</w:t>
      </w:r>
    </w:p>
    <w:p w14:paraId="2A18DAD4" w14:textId="55B112C8" w:rsidR="005D6524" w:rsidRDefault="00BF4B8C" w:rsidP="00EA065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 </w:t>
      </w:r>
      <w:r w:rsidRPr="00DE3939">
        <w:rPr>
          <w:rFonts w:ascii="Arial" w:hAnsi="Arial" w:cs="Arial"/>
          <w:i/>
          <w:iCs/>
          <w:sz w:val="24"/>
          <w:szCs w:val="24"/>
        </w:rPr>
        <w:t>Knick v. Township of Scott</w:t>
      </w:r>
      <w:r>
        <w:rPr>
          <w:rFonts w:ascii="Arial" w:hAnsi="Arial" w:cs="Arial"/>
          <w:sz w:val="24"/>
          <w:szCs w:val="24"/>
        </w:rPr>
        <w:t xml:space="preserve"> (brilliantly briefed and argued by </w:t>
      </w:r>
      <w:r w:rsidR="00DE3939">
        <w:rPr>
          <w:rFonts w:ascii="Arial" w:hAnsi="Arial" w:cs="Arial"/>
          <w:sz w:val="24"/>
          <w:szCs w:val="24"/>
        </w:rPr>
        <w:t>J. David Breemer of the Pacific Legal Foundation), Chief Justice John Roberts</w:t>
      </w:r>
      <w:r w:rsidR="00D20F5A">
        <w:rPr>
          <w:rFonts w:ascii="Arial" w:hAnsi="Arial" w:cs="Arial"/>
          <w:sz w:val="24"/>
          <w:szCs w:val="24"/>
        </w:rPr>
        <w:t xml:space="preserve"> announced that “</w:t>
      </w:r>
      <w:r w:rsidR="00426B1E">
        <w:rPr>
          <w:rFonts w:ascii="Arial" w:hAnsi="Arial" w:cs="Arial"/>
          <w:sz w:val="24"/>
          <w:szCs w:val="24"/>
        </w:rPr>
        <w:t>takings</w:t>
      </w:r>
      <w:r w:rsidR="00426B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6B1E">
        <w:rPr>
          <w:rFonts w:ascii="Arial" w:hAnsi="Arial" w:cs="Arial"/>
          <w:sz w:val="24"/>
          <w:szCs w:val="24"/>
        </w:rPr>
        <w:t>claims</w:t>
      </w:r>
      <w:proofErr w:type="gramEnd"/>
      <w:r w:rsidR="00426B1E">
        <w:rPr>
          <w:rFonts w:ascii="Arial" w:hAnsi="Arial" w:cs="Arial"/>
          <w:sz w:val="24"/>
          <w:szCs w:val="24"/>
        </w:rPr>
        <w:t xml:space="preserve"> against local governments </w:t>
      </w:r>
      <w:r w:rsidR="007B4140">
        <w:rPr>
          <w:rFonts w:ascii="Arial" w:hAnsi="Arial" w:cs="Arial"/>
          <w:sz w:val="24"/>
          <w:szCs w:val="24"/>
        </w:rPr>
        <w:t xml:space="preserve">should be handled the same as other claims under the Bill of Rights. </w:t>
      </w:r>
      <w:r w:rsidR="007B4140" w:rsidRPr="0045377D">
        <w:rPr>
          <w:rFonts w:ascii="Arial" w:hAnsi="Arial" w:cs="Arial"/>
          <w:i/>
          <w:iCs/>
          <w:sz w:val="24"/>
          <w:szCs w:val="24"/>
        </w:rPr>
        <w:t xml:space="preserve">Williamson </w:t>
      </w:r>
      <w:r w:rsidR="00C346A5" w:rsidRPr="0045377D">
        <w:rPr>
          <w:rFonts w:ascii="Arial" w:hAnsi="Arial" w:cs="Arial"/>
          <w:i/>
          <w:iCs/>
          <w:sz w:val="24"/>
          <w:szCs w:val="24"/>
        </w:rPr>
        <w:t>County</w:t>
      </w:r>
      <w:r w:rsidR="00C346A5">
        <w:rPr>
          <w:rFonts w:ascii="Arial" w:hAnsi="Arial" w:cs="Arial"/>
          <w:sz w:val="24"/>
          <w:szCs w:val="24"/>
        </w:rPr>
        <w:t xml:space="preserve"> erred in holding otherwise.” Pulling no punches, </w:t>
      </w:r>
      <w:bookmarkStart w:id="0" w:name="_GoBack"/>
      <w:r w:rsidR="00C346A5">
        <w:rPr>
          <w:rFonts w:ascii="Arial" w:hAnsi="Arial" w:cs="Arial"/>
          <w:sz w:val="24"/>
          <w:szCs w:val="24"/>
        </w:rPr>
        <w:t>the Chief Justice continued, “</w:t>
      </w:r>
      <w:r w:rsidR="00E3290F" w:rsidRPr="006021F6">
        <w:rPr>
          <w:rFonts w:ascii="Arial" w:hAnsi="Arial" w:cs="Arial"/>
          <w:i/>
          <w:iCs/>
          <w:sz w:val="24"/>
          <w:szCs w:val="24"/>
        </w:rPr>
        <w:t>Williamson County</w:t>
      </w:r>
      <w:r w:rsidR="00E3290F">
        <w:rPr>
          <w:rFonts w:ascii="Arial" w:hAnsi="Arial" w:cs="Arial"/>
          <w:sz w:val="24"/>
          <w:szCs w:val="24"/>
        </w:rPr>
        <w:t xml:space="preserve"> was not just wrong. Its reasoning</w:t>
      </w:r>
      <w:r w:rsidR="00E5521E">
        <w:rPr>
          <w:rFonts w:ascii="Arial" w:hAnsi="Arial" w:cs="Arial"/>
          <w:sz w:val="24"/>
          <w:szCs w:val="24"/>
        </w:rPr>
        <w:t xml:space="preserve"> was </w:t>
      </w:r>
      <w:bookmarkEnd w:id="0"/>
      <w:r w:rsidR="00E5521E">
        <w:rPr>
          <w:rFonts w:ascii="Arial" w:hAnsi="Arial" w:cs="Arial"/>
          <w:sz w:val="24"/>
          <w:szCs w:val="24"/>
        </w:rPr>
        <w:t>exceptionally ill founded and conflicted with much of our taking</w:t>
      </w:r>
      <w:r w:rsidR="006021F6">
        <w:rPr>
          <w:rFonts w:ascii="Arial" w:hAnsi="Arial" w:cs="Arial"/>
          <w:sz w:val="24"/>
          <w:szCs w:val="24"/>
        </w:rPr>
        <w:t>s jurisprudence.”</w:t>
      </w:r>
      <w:r w:rsidR="00A038A0">
        <w:rPr>
          <w:rFonts w:ascii="Arial" w:hAnsi="Arial" w:cs="Arial"/>
          <w:sz w:val="24"/>
          <w:szCs w:val="24"/>
        </w:rPr>
        <w:t xml:space="preserve"> To which one can only respond, that’s what we’ve been saying for 34 years!</w:t>
      </w:r>
    </w:p>
    <w:p w14:paraId="26CAA113" w14:textId="2E0A3990" w:rsidR="009A7C28" w:rsidRDefault="009E1E88" w:rsidP="00EA065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If anything could dampen the celebration</w:t>
      </w:r>
      <w:r w:rsidR="00AE2DE5">
        <w:rPr>
          <w:rFonts w:ascii="Arial" w:hAnsi="Arial" w:cs="Arial"/>
          <w:sz w:val="24"/>
          <w:szCs w:val="24"/>
        </w:rPr>
        <w:t xml:space="preserve"> over </w:t>
      </w:r>
      <w:r w:rsidR="00AE2DE5" w:rsidRPr="00B94C35">
        <w:rPr>
          <w:rFonts w:ascii="Arial" w:hAnsi="Arial" w:cs="Arial"/>
          <w:i/>
          <w:iCs/>
          <w:sz w:val="24"/>
          <w:szCs w:val="24"/>
        </w:rPr>
        <w:t>Knick</w:t>
      </w:r>
      <w:r>
        <w:rPr>
          <w:rFonts w:ascii="Arial" w:hAnsi="Arial" w:cs="Arial"/>
          <w:sz w:val="24"/>
          <w:szCs w:val="24"/>
        </w:rPr>
        <w:t xml:space="preserve">, it is reading Justice Kagan’s dissent, which was joined by the other three justices making up the Court’s liberal wing. In the dissent’s view, there was nothing wrong with </w:t>
      </w:r>
      <w:r w:rsidRPr="009E1E88">
        <w:rPr>
          <w:rFonts w:ascii="Arial" w:hAnsi="Arial" w:cs="Arial"/>
          <w:i/>
          <w:iCs/>
          <w:sz w:val="24"/>
          <w:szCs w:val="24"/>
        </w:rPr>
        <w:t>Williamson County</w:t>
      </w:r>
      <w:r>
        <w:rPr>
          <w:rFonts w:ascii="Arial" w:hAnsi="Arial" w:cs="Arial"/>
          <w:sz w:val="24"/>
          <w:szCs w:val="24"/>
        </w:rPr>
        <w:t xml:space="preserve"> at all! Permanently relegating violations of </w:t>
      </w:r>
      <w:r w:rsidR="00F61031">
        <w:rPr>
          <w:rFonts w:ascii="Arial" w:hAnsi="Arial" w:cs="Arial"/>
          <w:sz w:val="24"/>
          <w:szCs w:val="24"/>
        </w:rPr>
        <w:t xml:space="preserve">the </w:t>
      </w:r>
      <w:r w:rsidR="00966E56">
        <w:rPr>
          <w:rFonts w:ascii="Arial" w:hAnsi="Arial" w:cs="Arial"/>
          <w:sz w:val="24"/>
          <w:szCs w:val="24"/>
        </w:rPr>
        <w:t>Fifth Amen</w:t>
      </w:r>
      <w:r w:rsidR="0068391B">
        <w:rPr>
          <w:rFonts w:ascii="Arial" w:hAnsi="Arial" w:cs="Arial"/>
          <w:sz w:val="24"/>
          <w:szCs w:val="24"/>
        </w:rPr>
        <w:t xml:space="preserve">dment’s </w:t>
      </w:r>
      <w:r w:rsidR="00F61031">
        <w:rPr>
          <w:rFonts w:ascii="Arial" w:hAnsi="Arial" w:cs="Arial"/>
          <w:sz w:val="24"/>
          <w:szCs w:val="24"/>
        </w:rPr>
        <w:t>Takings Clause</w:t>
      </w:r>
      <w:r>
        <w:rPr>
          <w:rFonts w:ascii="Arial" w:hAnsi="Arial" w:cs="Arial"/>
          <w:sz w:val="24"/>
          <w:szCs w:val="24"/>
        </w:rPr>
        <w:t xml:space="preserve"> to state court </w:t>
      </w:r>
      <w:r w:rsidR="009A7C28">
        <w:rPr>
          <w:rFonts w:ascii="Arial" w:hAnsi="Arial" w:cs="Arial"/>
          <w:sz w:val="24"/>
          <w:szCs w:val="24"/>
        </w:rPr>
        <w:t>posed no real problem for the dissenters.</w:t>
      </w:r>
      <w:r w:rsidR="0094701C">
        <w:rPr>
          <w:rFonts w:ascii="Arial" w:hAnsi="Arial" w:cs="Arial"/>
          <w:sz w:val="24"/>
          <w:szCs w:val="24"/>
        </w:rPr>
        <w:t xml:space="preserve"> The real victims, in Justice Kaga</w:t>
      </w:r>
      <w:r w:rsidR="006E43F2">
        <w:rPr>
          <w:rFonts w:ascii="Arial" w:hAnsi="Arial" w:cs="Arial"/>
          <w:sz w:val="24"/>
          <w:szCs w:val="24"/>
        </w:rPr>
        <w:t xml:space="preserve">n’s view, </w:t>
      </w:r>
      <w:r w:rsidR="007F4627">
        <w:rPr>
          <w:rFonts w:ascii="Arial" w:hAnsi="Arial" w:cs="Arial"/>
          <w:sz w:val="24"/>
          <w:szCs w:val="24"/>
        </w:rPr>
        <w:t>a</w:t>
      </w:r>
      <w:r w:rsidR="006E43F2">
        <w:rPr>
          <w:rFonts w:ascii="Arial" w:hAnsi="Arial" w:cs="Arial"/>
          <w:sz w:val="24"/>
          <w:szCs w:val="24"/>
        </w:rPr>
        <w:t>re local regulators</w:t>
      </w:r>
      <w:r w:rsidR="00697AE4">
        <w:rPr>
          <w:rFonts w:ascii="Arial" w:hAnsi="Arial" w:cs="Arial"/>
          <w:sz w:val="24"/>
          <w:szCs w:val="24"/>
        </w:rPr>
        <w:t xml:space="preserve">. </w:t>
      </w:r>
      <w:r w:rsidR="00481A7D">
        <w:rPr>
          <w:rFonts w:ascii="Arial" w:hAnsi="Arial" w:cs="Arial"/>
          <w:sz w:val="24"/>
          <w:szCs w:val="24"/>
        </w:rPr>
        <w:t>Holding</w:t>
      </w:r>
      <w:r w:rsidR="00234308">
        <w:rPr>
          <w:rFonts w:ascii="Arial" w:hAnsi="Arial" w:cs="Arial"/>
          <w:sz w:val="24"/>
          <w:szCs w:val="24"/>
        </w:rPr>
        <w:t xml:space="preserve"> </w:t>
      </w:r>
      <w:r w:rsidR="005C60C2">
        <w:rPr>
          <w:rFonts w:ascii="Arial" w:hAnsi="Arial" w:cs="Arial"/>
          <w:sz w:val="24"/>
          <w:szCs w:val="24"/>
        </w:rPr>
        <w:t xml:space="preserve">that </w:t>
      </w:r>
      <w:r w:rsidR="00225CD9">
        <w:rPr>
          <w:rFonts w:ascii="Arial" w:hAnsi="Arial" w:cs="Arial"/>
          <w:sz w:val="24"/>
          <w:szCs w:val="24"/>
        </w:rPr>
        <w:t>local boards and agencies</w:t>
      </w:r>
      <w:r w:rsidR="005C60C2">
        <w:rPr>
          <w:rFonts w:ascii="Arial" w:hAnsi="Arial" w:cs="Arial"/>
          <w:sz w:val="24"/>
          <w:szCs w:val="24"/>
        </w:rPr>
        <w:t xml:space="preserve"> have violated the Constitution merely because their actions take someone’s property without </w:t>
      </w:r>
      <w:r w:rsidR="005C60C2">
        <w:rPr>
          <w:rFonts w:ascii="Arial" w:hAnsi="Arial" w:cs="Arial"/>
          <w:sz w:val="24"/>
          <w:szCs w:val="24"/>
        </w:rPr>
        <w:lastRenderedPageBreak/>
        <w:t>compensation</w:t>
      </w:r>
      <w:r w:rsidR="0017122B">
        <w:rPr>
          <w:rFonts w:ascii="Arial" w:hAnsi="Arial" w:cs="Arial"/>
          <w:sz w:val="24"/>
          <w:szCs w:val="24"/>
        </w:rPr>
        <w:t xml:space="preserve">, </w:t>
      </w:r>
      <w:r w:rsidR="003F2E35">
        <w:rPr>
          <w:rFonts w:ascii="Arial" w:hAnsi="Arial" w:cs="Arial"/>
          <w:sz w:val="24"/>
          <w:szCs w:val="24"/>
        </w:rPr>
        <w:t>s</w:t>
      </w:r>
      <w:r w:rsidR="0017122B">
        <w:rPr>
          <w:rFonts w:ascii="Arial" w:hAnsi="Arial" w:cs="Arial"/>
          <w:sz w:val="24"/>
          <w:szCs w:val="24"/>
        </w:rPr>
        <w:t>he frets, “is not a fair position in which to place persons carrying out their governmental dut</w:t>
      </w:r>
      <w:r w:rsidR="0087328D">
        <w:rPr>
          <w:rFonts w:ascii="Arial" w:hAnsi="Arial" w:cs="Arial"/>
          <w:sz w:val="24"/>
          <w:szCs w:val="24"/>
        </w:rPr>
        <w:t xml:space="preserve">ies.” </w:t>
      </w:r>
      <w:r w:rsidR="00A64CF3">
        <w:rPr>
          <w:rFonts w:ascii="Arial" w:hAnsi="Arial" w:cs="Arial"/>
          <w:sz w:val="24"/>
          <w:szCs w:val="24"/>
        </w:rPr>
        <w:t xml:space="preserve">You read that right. </w:t>
      </w:r>
      <w:r w:rsidR="00AC06B1">
        <w:rPr>
          <w:rFonts w:ascii="Arial" w:hAnsi="Arial" w:cs="Arial"/>
          <w:sz w:val="24"/>
          <w:szCs w:val="24"/>
        </w:rPr>
        <w:t xml:space="preserve">After more than </w:t>
      </w:r>
      <w:r w:rsidR="00683250">
        <w:rPr>
          <w:rFonts w:ascii="Arial" w:hAnsi="Arial" w:cs="Arial"/>
          <w:sz w:val="24"/>
          <w:szCs w:val="24"/>
        </w:rPr>
        <w:t>30 years</w:t>
      </w:r>
      <w:r w:rsidR="00AC06B1">
        <w:rPr>
          <w:rFonts w:ascii="Arial" w:hAnsi="Arial" w:cs="Arial"/>
          <w:sz w:val="24"/>
          <w:szCs w:val="24"/>
        </w:rPr>
        <w:t xml:space="preserve"> of wrongfully denying property owners a federal forum </w:t>
      </w:r>
      <w:r w:rsidR="00791A94">
        <w:rPr>
          <w:rFonts w:ascii="Arial" w:hAnsi="Arial" w:cs="Arial"/>
          <w:sz w:val="24"/>
          <w:szCs w:val="24"/>
        </w:rPr>
        <w:t xml:space="preserve">to redress violations of </w:t>
      </w:r>
      <w:r w:rsidR="00AC06B1">
        <w:rPr>
          <w:rFonts w:ascii="Arial" w:hAnsi="Arial" w:cs="Arial"/>
          <w:sz w:val="24"/>
          <w:szCs w:val="24"/>
        </w:rPr>
        <w:t xml:space="preserve">their federal constitutional </w:t>
      </w:r>
      <w:r w:rsidR="00791A94">
        <w:rPr>
          <w:rFonts w:ascii="Arial" w:hAnsi="Arial" w:cs="Arial"/>
          <w:sz w:val="24"/>
          <w:szCs w:val="24"/>
        </w:rPr>
        <w:t>rights</w:t>
      </w:r>
      <w:r w:rsidR="00AC06B1">
        <w:rPr>
          <w:rFonts w:ascii="Arial" w:hAnsi="Arial" w:cs="Arial"/>
          <w:sz w:val="24"/>
          <w:szCs w:val="24"/>
        </w:rPr>
        <w:t>, s</w:t>
      </w:r>
      <w:r w:rsidR="00BC713F">
        <w:rPr>
          <w:rFonts w:ascii="Arial" w:hAnsi="Arial" w:cs="Arial"/>
          <w:sz w:val="24"/>
          <w:szCs w:val="24"/>
        </w:rPr>
        <w:t>uddenly fairness matters.</w:t>
      </w:r>
    </w:p>
    <w:p w14:paraId="3ABE2628" w14:textId="77DB0243" w:rsidR="009A7C28" w:rsidRDefault="009A7C28" w:rsidP="00EA065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most sobering point here is that, before Justice Kavanaugh was confirmed, the Court was split 4-4 between Chief Justice Robert’s view of </w:t>
      </w:r>
      <w:r w:rsidRPr="009A7C28">
        <w:rPr>
          <w:rFonts w:ascii="Arial" w:hAnsi="Arial" w:cs="Arial"/>
          <w:i/>
          <w:iCs/>
          <w:sz w:val="24"/>
          <w:szCs w:val="24"/>
        </w:rPr>
        <w:t>Williamson County</w:t>
      </w:r>
      <w:r>
        <w:rPr>
          <w:rFonts w:ascii="Arial" w:hAnsi="Arial" w:cs="Arial"/>
          <w:sz w:val="24"/>
          <w:szCs w:val="24"/>
        </w:rPr>
        <w:t xml:space="preserve"> and Justice Kagan’s. And without the votes of the two newest members of the Court, Justices Gorsuch and Kavanaugh, the Kagan dissent would </w:t>
      </w:r>
      <w:r w:rsidR="005C69F7">
        <w:rPr>
          <w:rFonts w:ascii="Arial" w:hAnsi="Arial" w:cs="Arial"/>
          <w:sz w:val="24"/>
          <w:szCs w:val="24"/>
        </w:rPr>
        <w:t xml:space="preserve">now </w:t>
      </w:r>
      <w:r>
        <w:rPr>
          <w:rFonts w:ascii="Arial" w:hAnsi="Arial" w:cs="Arial"/>
          <w:sz w:val="24"/>
          <w:szCs w:val="24"/>
        </w:rPr>
        <w:t>be the law of the land! Our rights sometimes hang by the slenderest of threads.</w:t>
      </w:r>
    </w:p>
    <w:p w14:paraId="27F2BD93" w14:textId="594F0481" w:rsidR="005C69F7" w:rsidRDefault="00B24578" w:rsidP="00EA065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Of course, gaining access to federal </w:t>
      </w:r>
      <w:r w:rsidR="000C7187">
        <w:rPr>
          <w:rFonts w:ascii="Arial" w:hAnsi="Arial" w:cs="Arial"/>
          <w:sz w:val="24"/>
          <w:szCs w:val="24"/>
        </w:rPr>
        <w:t xml:space="preserve">court doesn’t automatically translate to winning </w:t>
      </w:r>
      <w:r w:rsidR="00FE1462">
        <w:rPr>
          <w:rFonts w:ascii="Arial" w:hAnsi="Arial" w:cs="Arial"/>
          <w:sz w:val="24"/>
          <w:szCs w:val="24"/>
        </w:rPr>
        <w:t xml:space="preserve">more </w:t>
      </w:r>
      <w:r w:rsidR="000C7187">
        <w:rPr>
          <w:rFonts w:ascii="Arial" w:hAnsi="Arial" w:cs="Arial"/>
          <w:sz w:val="24"/>
          <w:szCs w:val="24"/>
        </w:rPr>
        <w:t>takings claims.</w:t>
      </w:r>
      <w:r w:rsidR="00842C0F">
        <w:rPr>
          <w:rFonts w:ascii="Arial" w:hAnsi="Arial" w:cs="Arial"/>
          <w:sz w:val="24"/>
          <w:szCs w:val="24"/>
        </w:rPr>
        <w:t xml:space="preserve"> Arguably one of the worst takings decisions of all time was the Ninth Circuit’s en banc opinion in </w:t>
      </w:r>
      <w:r w:rsidR="00842C0F" w:rsidRPr="00B86F17">
        <w:rPr>
          <w:rFonts w:ascii="Arial" w:hAnsi="Arial" w:cs="Arial"/>
          <w:i/>
          <w:iCs/>
          <w:sz w:val="24"/>
          <w:szCs w:val="24"/>
        </w:rPr>
        <w:t>Guggenheim v. City of Goleta</w:t>
      </w:r>
      <w:r w:rsidR="00842C0F">
        <w:rPr>
          <w:rFonts w:ascii="Arial" w:hAnsi="Arial" w:cs="Arial"/>
          <w:sz w:val="24"/>
          <w:szCs w:val="24"/>
        </w:rPr>
        <w:t xml:space="preserve">, in which Judge </w:t>
      </w:r>
      <w:r w:rsidR="00C50977">
        <w:rPr>
          <w:rFonts w:ascii="Arial" w:hAnsi="Arial" w:cs="Arial"/>
          <w:sz w:val="24"/>
          <w:szCs w:val="24"/>
        </w:rPr>
        <w:t xml:space="preserve"> </w:t>
      </w:r>
      <w:r w:rsidR="00D011BF">
        <w:rPr>
          <w:rFonts w:ascii="Arial" w:hAnsi="Arial" w:cs="Arial"/>
          <w:sz w:val="24"/>
          <w:szCs w:val="24"/>
        </w:rPr>
        <w:t xml:space="preserve">Kleinfeld upheld the city’s rent control ordinance </w:t>
      </w:r>
      <w:r w:rsidR="008C6A35">
        <w:rPr>
          <w:rFonts w:ascii="Arial" w:hAnsi="Arial" w:cs="Arial"/>
          <w:sz w:val="24"/>
          <w:szCs w:val="24"/>
        </w:rPr>
        <w:t xml:space="preserve">by </w:t>
      </w:r>
      <w:r w:rsidR="00185BAC">
        <w:rPr>
          <w:rFonts w:ascii="Arial" w:hAnsi="Arial" w:cs="Arial"/>
          <w:sz w:val="24"/>
          <w:szCs w:val="24"/>
        </w:rPr>
        <w:t>answering</w:t>
      </w:r>
      <w:r w:rsidR="008C6A35">
        <w:rPr>
          <w:rFonts w:ascii="Arial" w:hAnsi="Arial" w:cs="Arial"/>
          <w:sz w:val="24"/>
          <w:szCs w:val="24"/>
        </w:rPr>
        <w:t xml:space="preserve"> </w:t>
      </w:r>
      <w:r w:rsidR="008C6A35" w:rsidRPr="00B86F17">
        <w:rPr>
          <w:rFonts w:ascii="Arial" w:hAnsi="Arial" w:cs="Arial"/>
          <w:i/>
          <w:iCs/>
          <w:sz w:val="24"/>
          <w:szCs w:val="24"/>
        </w:rPr>
        <w:t>Penn Central</w:t>
      </w:r>
      <w:r w:rsidR="008C6A35" w:rsidRPr="00B86F17">
        <w:rPr>
          <w:rFonts w:ascii="Arial" w:hAnsi="Arial" w:cs="Arial"/>
          <w:sz w:val="24"/>
          <w:szCs w:val="24"/>
        </w:rPr>
        <w:t>’s</w:t>
      </w:r>
      <w:r w:rsidR="008C6A35">
        <w:rPr>
          <w:rFonts w:ascii="Arial" w:hAnsi="Arial" w:cs="Arial"/>
          <w:sz w:val="24"/>
          <w:szCs w:val="24"/>
        </w:rPr>
        <w:t xml:space="preserve"> three-part inquiry </w:t>
      </w:r>
      <w:r w:rsidR="00185BAC">
        <w:rPr>
          <w:rFonts w:ascii="Arial" w:hAnsi="Arial" w:cs="Arial"/>
          <w:sz w:val="24"/>
          <w:szCs w:val="24"/>
        </w:rPr>
        <w:t>with</w:t>
      </w:r>
      <w:r w:rsidR="00B86F17">
        <w:rPr>
          <w:rFonts w:ascii="Arial" w:hAnsi="Arial" w:cs="Arial"/>
          <w:sz w:val="24"/>
          <w:szCs w:val="24"/>
        </w:rPr>
        <w:t xml:space="preserve"> </w:t>
      </w:r>
      <w:r w:rsidR="006E51DA">
        <w:rPr>
          <w:rFonts w:ascii="Arial" w:hAnsi="Arial" w:cs="Arial"/>
          <w:sz w:val="24"/>
          <w:szCs w:val="24"/>
        </w:rPr>
        <w:t>a</w:t>
      </w:r>
      <w:r w:rsidR="008C6A35">
        <w:rPr>
          <w:rFonts w:ascii="Arial" w:hAnsi="Arial" w:cs="Arial"/>
          <w:sz w:val="24"/>
          <w:szCs w:val="24"/>
        </w:rPr>
        <w:t xml:space="preserve"> single</w:t>
      </w:r>
      <w:r w:rsidR="006E51DA">
        <w:rPr>
          <w:rFonts w:ascii="Arial" w:hAnsi="Arial" w:cs="Arial"/>
          <w:sz w:val="24"/>
          <w:szCs w:val="24"/>
        </w:rPr>
        <w:t xml:space="preserve"> imperative</w:t>
      </w:r>
      <w:r w:rsidR="008C6A35">
        <w:rPr>
          <w:rFonts w:ascii="Arial" w:hAnsi="Arial" w:cs="Arial"/>
          <w:sz w:val="24"/>
          <w:szCs w:val="24"/>
        </w:rPr>
        <w:t xml:space="preserve"> </w:t>
      </w:r>
      <w:r w:rsidR="00B86F17">
        <w:rPr>
          <w:rFonts w:ascii="Arial" w:hAnsi="Arial" w:cs="Arial"/>
          <w:sz w:val="24"/>
          <w:szCs w:val="24"/>
        </w:rPr>
        <w:t>– it’s rent control!</w:t>
      </w:r>
      <w:r w:rsidR="00122C7D">
        <w:rPr>
          <w:rFonts w:ascii="Arial" w:hAnsi="Arial" w:cs="Arial"/>
          <w:sz w:val="24"/>
          <w:szCs w:val="24"/>
        </w:rPr>
        <w:t xml:space="preserve"> A lifetime appointment to the federal bench</w:t>
      </w:r>
      <w:r w:rsidR="00240986">
        <w:rPr>
          <w:rFonts w:ascii="Arial" w:hAnsi="Arial" w:cs="Arial"/>
          <w:sz w:val="24"/>
          <w:szCs w:val="24"/>
        </w:rPr>
        <w:t xml:space="preserve"> may insulate judge</w:t>
      </w:r>
      <w:r w:rsidR="00754158">
        <w:rPr>
          <w:rFonts w:ascii="Arial" w:hAnsi="Arial" w:cs="Arial"/>
          <w:sz w:val="24"/>
          <w:szCs w:val="24"/>
        </w:rPr>
        <w:t>s</w:t>
      </w:r>
      <w:r w:rsidR="00240986">
        <w:rPr>
          <w:rFonts w:ascii="Arial" w:hAnsi="Arial" w:cs="Arial"/>
          <w:sz w:val="24"/>
          <w:szCs w:val="24"/>
        </w:rPr>
        <w:t xml:space="preserve"> from </w:t>
      </w:r>
      <w:r w:rsidR="0068172C">
        <w:rPr>
          <w:rFonts w:ascii="Arial" w:hAnsi="Arial" w:cs="Arial"/>
          <w:sz w:val="24"/>
          <w:szCs w:val="24"/>
        </w:rPr>
        <w:t xml:space="preserve">local </w:t>
      </w:r>
      <w:r w:rsidR="00240986">
        <w:rPr>
          <w:rFonts w:ascii="Arial" w:hAnsi="Arial" w:cs="Arial"/>
          <w:sz w:val="24"/>
          <w:szCs w:val="24"/>
        </w:rPr>
        <w:t>political pressure</w:t>
      </w:r>
      <w:r w:rsidR="00683250">
        <w:rPr>
          <w:rFonts w:ascii="Arial" w:hAnsi="Arial" w:cs="Arial"/>
          <w:sz w:val="24"/>
          <w:szCs w:val="24"/>
        </w:rPr>
        <w:t>s</w:t>
      </w:r>
      <w:r w:rsidR="00240986">
        <w:rPr>
          <w:rFonts w:ascii="Arial" w:hAnsi="Arial" w:cs="Arial"/>
          <w:sz w:val="24"/>
          <w:szCs w:val="24"/>
        </w:rPr>
        <w:t>,</w:t>
      </w:r>
      <w:r w:rsidR="0017756C">
        <w:rPr>
          <w:rFonts w:ascii="Arial" w:hAnsi="Arial" w:cs="Arial"/>
          <w:sz w:val="24"/>
          <w:szCs w:val="24"/>
        </w:rPr>
        <w:t xml:space="preserve"> but it doesn’t guarantee they will be receptive </w:t>
      </w:r>
      <w:r w:rsidR="002D0861">
        <w:rPr>
          <w:rFonts w:ascii="Arial" w:hAnsi="Arial" w:cs="Arial"/>
          <w:sz w:val="24"/>
          <w:szCs w:val="24"/>
        </w:rPr>
        <w:t>to constitutional arguments by property owners.</w:t>
      </w:r>
      <w:r w:rsidR="00240986">
        <w:rPr>
          <w:rFonts w:ascii="Arial" w:hAnsi="Arial" w:cs="Arial"/>
          <w:sz w:val="24"/>
          <w:szCs w:val="24"/>
        </w:rPr>
        <w:t xml:space="preserve"> </w:t>
      </w:r>
    </w:p>
    <w:p w14:paraId="6386B695" w14:textId="0C495EAA" w:rsidR="00754158" w:rsidRDefault="00754158" w:rsidP="00EA065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F288B">
        <w:rPr>
          <w:rFonts w:ascii="Arial" w:hAnsi="Arial" w:cs="Arial"/>
          <w:sz w:val="24"/>
          <w:szCs w:val="24"/>
        </w:rPr>
        <w:t xml:space="preserve">Still, just as the </w:t>
      </w:r>
      <w:r w:rsidR="009F288B" w:rsidRPr="009D0BDF">
        <w:rPr>
          <w:rFonts w:ascii="Arial" w:hAnsi="Arial" w:cs="Arial"/>
          <w:i/>
          <w:iCs/>
          <w:sz w:val="24"/>
          <w:szCs w:val="24"/>
        </w:rPr>
        <w:t>Penn Central</w:t>
      </w:r>
      <w:r w:rsidR="009F288B">
        <w:rPr>
          <w:rFonts w:ascii="Arial" w:hAnsi="Arial" w:cs="Arial"/>
          <w:sz w:val="24"/>
          <w:szCs w:val="24"/>
        </w:rPr>
        <w:t xml:space="preserve"> standards are better than no standards at all, </w:t>
      </w:r>
      <w:r w:rsidR="00B76638">
        <w:rPr>
          <w:rFonts w:ascii="Arial" w:hAnsi="Arial" w:cs="Arial"/>
          <w:sz w:val="24"/>
          <w:szCs w:val="24"/>
        </w:rPr>
        <w:t>having the choice of a federal forum is better than having no choice.</w:t>
      </w:r>
      <w:r w:rsidR="008A7E4A">
        <w:rPr>
          <w:rFonts w:ascii="Arial" w:hAnsi="Arial" w:cs="Arial"/>
          <w:sz w:val="24"/>
          <w:szCs w:val="24"/>
        </w:rPr>
        <w:t xml:space="preserve"> Federal trial judges tend to be more famili</w:t>
      </w:r>
      <w:r w:rsidR="009D1001">
        <w:rPr>
          <w:rFonts w:ascii="Arial" w:hAnsi="Arial" w:cs="Arial"/>
          <w:sz w:val="24"/>
          <w:szCs w:val="24"/>
        </w:rPr>
        <w:t>ar with the requirements of the Constitution than their state counterparts</w:t>
      </w:r>
      <w:r w:rsidR="00BC220A">
        <w:rPr>
          <w:rFonts w:ascii="Arial" w:hAnsi="Arial" w:cs="Arial"/>
          <w:sz w:val="24"/>
          <w:szCs w:val="24"/>
        </w:rPr>
        <w:t>, and local regulators will undoubtedly be more cautious about infringing</w:t>
      </w:r>
      <w:r w:rsidR="00C50977">
        <w:rPr>
          <w:rFonts w:ascii="Arial" w:hAnsi="Arial" w:cs="Arial"/>
          <w:sz w:val="24"/>
          <w:szCs w:val="24"/>
        </w:rPr>
        <w:t xml:space="preserve"> on protected rights</w:t>
      </w:r>
      <w:r w:rsidR="00AF6949">
        <w:rPr>
          <w:rFonts w:ascii="Arial" w:hAnsi="Arial" w:cs="Arial"/>
          <w:sz w:val="24"/>
          <w:szCs w:val="24"/>
        </w:rPr>
        <w:t xml:space="preserve"> and liberties if they know they risk winding up in federal court.</w:t>
      </w:r>
      <w:r w:rsidR="00336E74">
        <w:rPr>
          <w:rFonts w:ascii="Arial" w:hAnsi="Arial" w:cs="Arial"/>
          <w:sz w:val="24"/>
          <w:szCs w:val="24"/>
        </w:rPr>
        <w:t xml:space="preserve"> Justice Kagan may consider th</w:t>
      </w:r>
      <w:r w:rsidR="00C305A3">
        <w:rPr>
          <w:rFonts w:ascii="Arial" w:hAnsi="Arial" w:cs="Arial"/>
          <w:sz w:val="24"/>
          <w:szCs w:val="24"/>
        </w:rPr>
        <w:t>is</w:t>
      </w:r>
      <w:r w:rsidR="00336E74">
        <w:rPr>
          <w:rFonts w:ascii="Arial" w:hAnsi="Arial" w:cs="Arial"/>
          <w:sz w:val="24"/>
          <w:szCs w:val="24"/>
        </w:rPr>
        <w:t xml:space="preserve"> unfair</w:t>
      </w:r>
      <w:r w:rsidR="0058280F">
        <w:rPr>
          <w:rFonts w:ascii="Arial" w:hAnsi="Arial" w:cs="Arial"/>
          <w:sz w:val="24"/>
          <w:szCs w:val="24"/>
        </w:rPr>
        <w:t>, but for property owners it’s a breath of fresh air after three decades of oxygen deprivation.</w:t>
      </w:r>
    </w:p>
    <w:p w14:paraId="71A91F17" w14:textId="794ED2A1" w:rsidR="000C1ADE" w:rsidRDefault="000C1ADE" w:rsidP="00EA0650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FF359E8" w14:textId="2C582AD0" w:rsidR="00F8587D" w:rsidRDefault="00F8587D" w:rsidP="00EA0650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          #         #</w:t>
      </w:r>
    </w:p>
    <w:p w14:paraId="1C88B721" w14:textId="43E628EF" w:rsidR="000C1ADE" w:rsidRDefault="000C1ADE" w:rsidP="00EA0650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6FBD26AC" w14:textId="5B34F39F" w:rsidR="000C1ADE" w:rsidRPr="000C1ADE" w:rsidRDefault="000C1ADE" w:rsidP="00EA065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*R. S. Radford is Director of The Radford Center for Law, History, and Economics. He filed an amicus brief in </w:t>
      </w:r>
      <w:r w:rsidRPr="000C1ADE">
        <w:rPr>
          <w:rFonts w:ascii="Arial" w:hAnsi="Arial" w:cs="Arial"/>
          <w:i/>
          <w:iCs/>
          <w:sz w:val="24"/>
          <w:szCs w:val="24"/>
        </w:rPr>
        <w:t>Knick v. Township of Scott</w:t>
      </w:r>
      <w:r>
        <w:rPr>
          <w:rFonts w:ascii="Arial" w:hAnsi="Arial" w:cs="Arial"/>
          <w:sz w:val="24"/>
          <w:szCs w:val="24"/>
        </w:rPr>
        <w:t xml:space="preserve"> on behalf of Western Manufactured Housing Communities Association.</w:t>
      </w:r>
    </w:p>
    <w:p w14:paraId="7AA0596E" w14:textId="77777777" w:rsidR="000C1ADE" w:rsidRDefault="000C1ADE" w:rsidP="00EA0650">
      <w:pPr>
        <w:spacing w:after="0"/>
      </w:pPr>
    </w:p>
    <w:p w14:paraId="0537AA86" w14:textId="43957806" w:rsidR="000C1ADE" w:rsidRDefault="000C1ADE" w:rsidP="00EA0650">
      <w:pPr>
        <w:spacing w:after="0"/>
      </w:pPr>
    </w:p>
    <w:p w14:paraId="582A5180" w14:textId="77777777" w:rsidR="000C1ADE" w:rsidRDefault="000C1ADE" w:rsidP="00EA0650">
      <w:pPr>
        <w:spacing w:after="0"/>
      </w:pPr>
    </w:p>
    <w:sectPr w:rsidR="000C1AD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42DFB" w14:textId="77777777" w:rsidR="00C44EF2" w:rsidRDefault="00C44EF2" w:rsidP="00A236EF">
      <w:pPr>
        <w:spacing w:after="0" w:line="240" w:lineRule="auto"/>
      </w:pPr>
      <w:r>
        <w:separator/>
      </w:r>
    </w:p>
  </w:endnote>
  <w:endnote w:type="continuationSeparator" w:id="0">
    <w:p w14:paraId="0A153B54" w14:textId="77777777" w:rsidR="00C44EF2" w:rsidRDefault="00C44EF2" w:rsidP="00A2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631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BF03A" w14:textId="146F76D7" w:rsidR="00A236EF" w:rsidRDefault="00A236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F5D669" w14:textId="77777777" w:rsidR="00A236EF" w:rsidRDefault="00A23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A380" w14:textId="77777777" w:rsidR="00C44EF2" w:rsidRDefault="00C44EF2" w:rsidP="00A236EF">
      <w:pPr>
        <w:spacing w:after="0" w:line="240" w:lineRule="auto"/>
      </w:pPr>
      <w:r>
        <w:separator/>
      </w:r>
    </w:p>
  </w:footnote>
  <w:footnote w:type="continuationSeparator" w:id="0">
    <w:p w14:paraId="2546C288" w14:textId="77777777" w:rsidR="00C44EF2" w:rsidRDefault="00C44EF2" w:rsidP="00A23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DE"/>
    <w:rsid w:val="00014548"/>
    <w:rsid w:val="0004242D"/>
    <w:rsid w:val="00077086"/>
    <w:rsid w:val="000C1ADE"/>
    <w:rsid w:val="000C7187"/>
    <w:rsid w:val="000D238A"/>
    <w:rsid w:val="00114322"/>
    <w:rsid w:val="00122C7D"/>
    <w:rsid w:val="0017122B"/>
    <w:rsid w:val="0017756C"/>
    <w:rsid w:val="00185BAC"/>
    <w:rsid w:val="00190C55"/>
    <w:rsid w:val="001A194A"/>
    <w:rsid w:val="0020690D"/>
    <w:rsid w:val="00225CD9"/>
    <w:rsid w:val="00234308"/>
    <w:rsid w:val="00240986"/>
    <w:rsid w:val="002624AE"/>
    <w:rsid w:val="00273D53"/>
    <w:rsid w:val="00275D26"/>
    <w:rsid w:val="0027785F"/>
    <w:rsid w:val="002A2AA3"/>
    <w:rsid w:val="002D0861"/>
    <w:rsid w:val="002D31E2"/>
    <w:rsid w:val="002D7B98"/>
    <w:rsid w:val="00336E74"/>
    <w:rsid w:val="00341000"/>
    <w:rsid w:val="003509F6"/>
    <w:rsid w:val="00356424"/>
    <w:rsid w:val="00390D9F"/>
    <w:rsid w:val="003F2E35"/>
    <w:rsid w:val="00426B1E"/>
    <w:rsid w:val="0045377D"/>
    <w:rsid w:val="00481A7D"/>
    <w:rsid w:val="00481AC2"/>
    <w:rsid w:val="004C20B3"/>
    <w:rsid w:val="0054047C"/>
    <w:rsid w:val="005656E5"/>
    <w:rsid w:val="0058280F"/>
    <w:rsid w:val="005C60C2"/>
    <w:rsid w:val="005C69F7"/>
    <w:rsid w:val="005D6524"/>
    <w:rsid w:val="005E048E"/>
    <w:rsid w:val="006021F6"/>
    <w:rsid w:val="006705D3"/>
    <w:rsid w:val="00675C8A"/>
    <w:rsid w:val="0068172C"/>
    <w:rsid w:val="00683250"/>
    <w:rsid w:val="0068391B"/>
    <w:rsid w:val="00695D52"/>
    <w:rsid w:val="00697AE4"/>
    <w:rsid w:val="006C006F"/>
    <w:rsid w:val="006E43F2"/>
    <w:rsid w:val="006E51DA"/>
    <w:rsid w:val="00727DA9"/>
    <w:rsid w:val="00754158"/>
    <w:rsid w:val="007809A6"/>
    <w:rsid w:val="00791A94"/>
    <w:rsid w:val="007B4140"/>
    <w:rsid w:val="007F4627"/>
    <w:rsid w:val="00841E60"/>
    <w:rsid w:val="00842C0F"/>
    <w:rsid w:val="00862E08"/>
    <w:rsid w:val="0087328D"/>
    <w:rsid w:val="00877B63"/>
    <w:rsid w:val="008A7E4A"/>
    <w:rsid w:val="008C6A35"/>
    <w:rsid w:val="00914C1B"/>
    <w:rsid w:val="0094701C"/>
    <w:rsid w:val="00966E56"/>
    <w:rsid w:val="009A1D3F"/>
    <w:rsid w:val="009A7C28"/>
    <w:rsid w:val="009D0BDF"/>
    <w:rsid w:val="009D1001"/>
    <w:rsid w:val="009E1E88"/>
    <w:rsid w:val="009F288B"/>
    <w:rsid w:val="00A038A0"/>
    <w:rsid w:val="00A236EF"/>
    <w:rsid w:val="00A64CF3"/>
    <w:rsid w:val="00A93196"/>
    <w:rsid w:val="00A93EF4"/>
    <w:rsid w:val="00A940BC"/>
    <w:rsid w:val="00AA3C28"/>
    <w:rsid w:val="00AC06B1"/>
    <w:rsid w:val="00AE2DE5"/>
    <w:rsid w:val="00AF6949"/>
    <w:rsid w:val="00B24578"/>
    <w:rsid w:val="00B650C9"/>
    <w:rsid w:val="00B76638"/>
    <w:rsid w:val="00B86F17"/>
    <w:rsid w:val="00B94C35"/>
    <w:rsid w:val="00BC220A"/>
    <w:rsid w:val="00BC713F"/>
    <w:rsid w:val="00BF1451"/>
    <w:rsid w:val="00BF4B8C"/>
    <w:rsid w:val="00C06826"/>
    <w:rsid w:val="00C1199A"/>
    <w:rsid w:val="00C3043D"/>
    <w:rsid w:val="00C305A3"/>
    <w:rsid w:val="00C346A5"/>
    <w:rsid w:val="00C44EF2"/>
    <w:rsid w:val="00C47700"/>
    <w:rsid w:val="00C50977"/>
    <w:rsid w:val="00C66497"/>
    <w:rsid w:val="00CC1450"/>
    <w:rsid w:val="00CF57FA"/>
    <w:rsid w:val="00D011BF"/>
    <w:rsid w:val="00D20F5A"/>
    <w:rsid w:val="00D46313"/>
    <w:rsid w:val="00D83A40"/>
    <w:rsid w:val="00DE3939"/>
    <w:rsid w:val="00E3290F"/>
    <w:rsid w:val="00E43640"/>
    <w:rsid w:val="00E5521E"/>
    <w:rsid w:val="00E63604"/>
    <w:rsid w:val="00EA0650"/>
    <w:rsid w:val="00EA3CB0"/>
    <w:rsid w:val="00F412B5"/>
    <w:rsid w:val="00F42432"/>
    <w:rsid w:val="00F526E7"/>
    <w:rsid w:val="00F61031"/>
    <w:rsid w:val="00F66444"/>
    <w:rsid w:val="00F73006"/>
    <w:rsid w:val="00F8587D"/>
    <w:rsid w:val="00FB14DD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8B27"/>
  <w15:chartTrackingRefBased/>
  <w15:docId w15:val="{603A1E85-5CCA-4004-B5CB-7B70217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6EF"/>
  </w:style>
  <w:style w:type="paragraph" w:styleId="Footer">
    <w:name w:val="footer"/>
    <w:basedOn w:val="Normal"/>
    <w:link w:val="FooterChar"/>
    <w:uiPriority w:val="99"/>
    <w:unhideWhenUsed/>
    <w:rsid w:val="00A23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4</Pages>
  <Words>911</Words>
  <Characters>4766</Characters>
  <Application>Microsoft Office Word</Application>
  <DocSecurity>0</DocSecurity>
  <Lines>78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 Radford</dc:creator>
  <cp:keywords/>
  <dc:description/>
  <cp:lastModifiedBy>R S Radford</cp:lastModifiedBy>
  <cp:revision>119</cp:revision>
  <cp:lastPrinted>2019-06-23T21:23:00Z</cp:lastPrinted>
  <dcterms:created xsi:type="dcterms:W3CDTF">2019-06-22T17:08:00Z</dcterms:created>
  <dcterms:modified xsi:type="dcterms:W3CDTF">2019-06-24T16:18:00Z</dcterms:modified>
</cp:coreProperties>
</file>