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22F" w:rsidRPr="005B3304" w:rsidRDefault="003C222F" w:rsidP="00E12B47">
      <w:pPr>
        <w:spacing w:after="0" w:line="252" w:lineRule="auto"/>
        <w:ind w:left="720"/>
        <w:rPr>
          <w:rFonts w:ascii="Arial" w:eastAsia="Times New Roman" w:hAnsi="Arial" w:cs="Times New Roman"/>
          <w:spacing w:val="11"/>
          <w:sz w:val="26"/>
          <w:szCs w:val="26"/>
        </w:rPr>
      </w:pPr>
      <w:bookmarkStart w:id="0" w:name="_GoBack"/>
      <w:bookmarkEnd w:id="0"/>
      <w:r w:rsidRPr="00021B4E">
        <w:rPr>
          <w:rFonts w:ascii="Arial" w:eastAsia="Times New Roman" w:hAnsi="Arial" w:cs="Times New Roman"/>
          <w:b/>
          <w:spacing w:val="11"/>
          <w:sz w:val="26"/>
          <w:szCs w:val="26"/>
        </w:rPr>
        <w:t>TO THE HONORABLE PRESIDING JUSTICE AND ASSOCIATE JUSTICES OF THE COURT OF APPEAL OF THE FIRST APPELLATE DISTRICT OF THE STATE OF CALIFORNIA</w:t>
      </w:r>
      <w:r w:rsidRPr="005B3304">
        <w:rPr>
          <w:rFonts w:ascii="Arial" w:eastAsia="Times New Roman" w:hAnsi="Arial" w:cs="Times New Roman"/>
          <w:spacing w:val="11"/>
          <w:sz w:val="26"/>
          <w:szCs w:val="26"/>
        </w:rPr>
        <w:t>.</w:t>
      </w:r>
    </w:p>
    <w:p w:rsidR="003C222F" w:rsidRPr="005B3304" w:rsidRDefault="003C222F" w:rsidP="00E12B47">
      <w:pPr>
        <w:spacing w:after="0" w:line="252" w:lineRule="auto"/>
        <w:ind w:left="720"/>
        <w:rPr>
          <w:rFonts w:ascii="Arial" w:eastAsia="Times New Roman" w:hAnsi="Arial" w:cs="Times New Roman"/>
          <w:spacing w:val="11"/>
          <w:sz w:val="26"/>
          <w:szCs w:val="26"/>
        </w:rPr>
      </w:pPr>
    </w:p>
    <w:p w:rsidR="003C222F" w:rsidRPr="005B3304" w:rsidRDefault="004F1805" w:rsidP="00E12B47">
      <w:pPr>
        <w:spacing w:after="0" w:line="480" w:lineRule="auto"/>
        <w:ind w:left="720"/>
        <w:rPr>
          <w:rFonts w:ascii="Arial" w:eastAsia="Times New Roman" w:hAnsi="Arial" w:cs="Times New Roman"/>
          <w:sz w:val="26"/>
          <w:szCs w:val="26"/>
        </w:rPr>
      </w:pPr>
      <w:r w:rsidRPr="005B3304">
        <w:rPr>
          <w:rFonts w:ascii="Arial" w:eastAsia="Times New Roman" w:hAnsi="Arial" w:cs="Times New Roman"/>
          <w:sz w:val="26"/>
          <w:szCs w:val="26"/>
        </w:rPr>
        <w:tab/>
      </w:r>
      <w:r w:rsidR="0011410E" w:rsidRPr="005B3304">
        <w:rPr>
          <w:rFonts w:ascii="Arial" w:eastAsia="Times New Roman" w:hAnsi="Arial" w:cs="Times New Roman"/>
          <w:sz w:val="26"/>
          <w:szCs w:val="26"/>
        </w:rPr>
        <w:t xml:space="preserve">Pursuant to California Public Utilities Code </w:t>
      </w:r>
      <w:r w:rsidR="00D93958" w:rsidRPr="005B3304">
        <w:rPr>
          <w:rFonts w:ascii="Arial" w:eastAsia="Times New Roman" w:hAnsi="Arial" w:cs="Arial"/>
          <w:sz w:val="26"/>
          <w:szCs w:val="26"/>
        </w:rPr>
        <w:t>§</w:t>
      </w:r>
      <w:r w:rsidR="00CC2C77" w:rsidRPr="005B3304">
        <w:rPr>
          <w:rFonts w:ascii="Arial" w:eastAsia="Times New Roman" w:hAnsi="Arial" w:cs="Times New Roman"/>
          <w:sz w:val="26"/>
          <w:szCs w:val="26"/>
        </w:rPr>
        <w:t>1756 (hereinafter “Public Utilities Code”</w:t>
      </w:r>
      <w:r w:rsidR="00C61406" w:rsidRPr="005B3304">
        <w:rPr>
          <w:rFonts w:ascii="Arial" w:eastAsia="Times New Roman" w:hAnsi="Arial" w:cs="Times New Roman"/>
          <w:sz w:val="26"/>
          <w:szCs w:val="26"/>
        </w:rPr>
        <w:t xml:space="preserve"> or “Section”</w:t>
      </w:r>
      <w:r w:rsidR="00D93958" w:rsidRPr="005B3304">
        <w:rPr>
          <w:rFonts w:ascii="Arial" w:eastAsia="Times New Roman" w:hAnsi="Arial" w:cs="Times New Roman"/>
          <w:sz w:val="26"/>
          <w:szCs w:val="26"/>
        </w:rPr>
        <w:t xml:space="preserve">), </w:t>
      </w:r>
      <w:r w:rsidR="007639F2" w:rsidRPr="005B3304">
        <w:rPr>
          <w:rFonts w:ascii="Arial" w:eastAsia="Times New Roman" w:hAnsi="Arial" w:cs="Times New Roman"/>
          <w:sz w:val="26"/>
          <w:szCs w:val="26"/>
        </w:rPr>
        <w:t xml:space="preserve">and California Rules of Court Rule 8.496, </w:t>
      </w:r>
      <w:r w:rsidR="00D93958" w:rsidRPr="005B3304">
        <w:rPr>
          <w:rFonts w:ascii="Arial" w:eastAsia="Times New Roman" w:hAnsi="Arial" w:cs="Times New Roman"/>
          <w:sz w:val="26"/>
          <w:szCs w:val="26"/>
        </w:rPr>
        <w:t>the Western Manufactured Housing Community Association (hereinafter “WMA”) files t</w:t>
      </w:r>
      <w:r w:rsidR="00420C53" w:rsidRPr="005B3304">
        <w:rPr>
          <w:rFonts w:ascii="Arial" w:eastAsia="Times New Roman" w:hAnsi="Arial" w:cs="Times New Roman"/>
          <w:sz w:val="26"/>
          <w:szCs w:val="26"/>
        </w:rPr>
        <w:t xml:space="preserve">his Petition for Writ of </w:t>
      </w:r>
      <w:r w:rsidR="00A67E63" w:rsidRPr="005B3304">
        <w:rPr>
          <w:rFonts w:ascii="Arial" w:eastAsia="Times New Roman" w:hAnsi="Arial" w:cs="Times New Roman"/>
          <w:sz w:val="26"/>
          <w:szCs w:val="26"/>
        </w:rPr>
        <w:t>Review</w:t>
      </w:r>
      <w:r w:rsidR="00420C53" w:rsidRPr="005B3304">
        <w:rPr>
          <w:rFonts w:ascii="Arial" w:eastAsia="Times New Roman" w:hAnsi="Arial" w:cs="Times New Roman"/>
          <w:sz w:val="26"/>
          <w:szCs w:val="26"/>
        </w:rPr>
        <w:t xml:space="preserve"> </w:t>
      </w:r>
      <w:r w:rsidR="00D93958" w:rsidRPr="005B3304">
        <w:rPr>
          <w:rFonts w:ascii="Arial" w:eastAsia="Times New Roman" w:hAnsi="Arial" w:cs="Times New Roman"/>
          <w:sz w:val="26"/>
          <w:szCs w:val="26"/>
        </w:rPr>
        <w:t xml:space="preserve">to </w:t>
      </w:r>
      <w:r w:rsidR="00420C53" w:rsidRPr="005B3304">
        <w:rPr>
          <w:rFonts w:ascii="Arial" w:eastAsia="Times New Roman" w:hAnsi="Arial" w:cs="Times New Roman"/>
          <w:sz w:val="26"/>
          <w:szCs w:val="26"/>
        </w:rPr>
        <w:t xml:space="preserve">seek the </w:t>
      </w:r>
      <w:r w:rsidR="00513A77" w:rsidRPr="005B3304">
        <w:rPr>
          <w:rFonts w:ascii="Arial" w:eastAsia="Times New Roman" w:hAnsi="Arial" w:cs="Times New Roman"/>
          <w:sz w:val="26"/>
          <w:szCs w:val="26"/>
        </w:rPr>
        <w:t>annulment</w:t>
      </w:r>
      <w:r w:rsidR="00420C53" w:rsidRPr="005B3304">
        <w:rPr>
          <w:rFonts w:ascii="Arial" w:eastAsia="Times New Roman" w:hAnsi="Arial" w:cs="Times New Roman"/>
          <w:sz w:val="26"/>
          <w:szCs w:val="26"/>
        </w:rPr>
        <w:t xml:space="preserve"> of two decisions of the California Public Utilities Commission </w:t>
      </w:r>
      <w:r w:rsidR="006E1E1A" w:rsidRPr="005B3304">
        <w:rPr>
          <w:rFonts w:ascii="Arial" w:eastAsia="Times New Roman" w:hAnsi="Arial" w:cs="Times New Roman"/>
          <w:sz w:val="26"/>
          <w:szCs w:val="26"/>
        </w:rPr>
        <w:t xml:space="preserve">(hereinafter “the Commission”) </w:t>
      </w:r>
      <w:r w:rsidR="00420C53" w:rsidRPr="005B3304">
        <w:rPr>
          <w:rFonts w:ascii="Arial" w:eastAsia="Times New Roman" w:hAnsi="Arial" w:cs="Times New Roman"/>
          <w:sz w:val="26"/>
          <w:szCs w:val="26"/>
        </w:rPr>
        <w:t>that set a rate for the provision of electric service</w:t>
      </w:r>
      <w:r w:rsidR="007B2B94" w:rsidRPr="005B3304">
        <w:rPr>
          <w:rFonts w:ascii="Arial" w:eastAsia="Times New Roman" w:hAnsi="Arial" w:cs="Times New Roman"/>
          <w:sz w:val="26"/>
          <w:szCs w:val="26"/>
        </w:rPr>
        <w:t xml:space="preserve"> in mobilehome parks in the service territory of Pacific Gas &amp; Electric</w:t>
      </w:r>
      <w:r w:rsidR="003C222F" w:rsidRPr="005B3304">
        <w:rPr>
          <w:rFonts w:ascii="Arial" w:eastAsia="Times New Roman" w:hAnsi="Arial" w:cs="Times New Roman"/>
          <w:sz w:val="26"/>
          <w:szCs w:val="26"/>
        </w:rPr>
        <w:t>.</w:t>
      </w:r>
    </w:p>
    <w:p w:rsidR="003C222F" w:rsidRPr="005B3304" w:rsidRDefault="003C222F" w:rsidP="00E12B47">
      <w:pPr>
        <w:spacing w:after="0" w:line="480" w:lineRule="auto"/>
        <w:ind w:left="720"/>
        <w:rPr>
          <w:rFonts w:ascii="Arial" w:eastAsia="Times New Roman" w:hAnsi="Arial" w:cs="Times New Roman"/>
          <w:sz w:val="26"/>
          <w:szCs w:val="26"/>
        </w:rPr>
      </w:pPr>
      <w:r w:rsidRPr="005B3304">
        <w:rPr>
          <w:rFonts w:ascii="Arial" w:eastAsia="Times New Roman" w:hAnsi="Arial" w:cs="Times New Roman"/>
          <w:sz w:val="26"/>
          <w:szCs w:val="26"/>
        </w:rPr>
        <w:tab/>
      </w:r>
    </w:p>
    <w:p w:rsidR="003C222F" w:rsidRPr="005B3304" w:rsidRDefault="003C222F" w:rsidP="00E12B47">
      <w:pPr>
        <w:spacing w:after="0" w:line="480" w:lineRule="auto"/>
        <w:ind w:left="720"/>
        <w:jc w:val="center"/>
        <w:rPr>
          <w:rFonts w:ascii="Arial" w:eastAsia="Times New Roman" w:hAnsi="Arial" w:cs="Times New Roman"/>
          <w:b/>
          <w:sz w:val="26"/>
          <w:szCs w:val="26"/>
          <w:u w:val="single"/>
        </w:rPr>
      </w:pPr>
      <w:r w:rsidRPr="005B3304">
        <w:rPr>
          <w:rFonts w:ascii="Arial" w:eastAsia="Times New Roman" w:hAnsi="Arial" w:cs="Times New Roman"/>
          <w:b/>
          <w:sz w:val="26"/>
          <w:szCs w:val="26"/>
          <w:u w:val="single"/>
        </w:rPr>
        <w:t>QUESTIONS PRESENTED FOR REVIEW</w:t>
      </w:r>
    </w:p>
    <w:p w:rsidR="003C222F" w:rsidRPr="005B3304" w:rsidRDefault="003C222F" w:rsidP="00E12B47">
      <w:pPr>
        <w:spacing w:after="0" w:line="480" w:lineRule="auto"/>
        <w:ind w:left="720"/>
        <w:rPr>
          <w:rFonts w:ascii="Arial" w:eastAsia="Times New Roman" w:hAnsi="Arial" w:cs="Times New Roman"/>
          <w:sz w:val="26"/>
          <w:szCs w:val="26"/>
        </w:rPr>
      </w:pPr>
      <w:r w:rsidRPr="005B3304">
        <w:rPr>
          <w:rFonts w:ascii="Arial" w:eastAsia="Times New Roman" w:hAnsi="Arial" w:cs="Times New Roman"/>
          <w:sz w:val="26"/>
          <w:szCs w:val="26"/>
        </w:rPr>
        <w:tab/>
        <w:t>1.</w:t>
      </w:r>
      <w:r w:rsidRPr="005B3304">
        <w:rPr>
          <w:rFonts w:ascii="Arial" w:eastAsia="Times New Roman" w:hAnsi="Arial" w:cs="Times New Roman"/>
          <w:sz w:val="26"/>
          <w:szCs w:val="26"/>
        </w:rPr>
        <w:tab/>
        <w:t xml:space="preserve">Did the Commission set a rate for the </w:t>
      </w:r>
      <w:r w:rsidR="00513A77" w:rsidRPr="005B3304">
        <w:rPr>
          <w:rFonts w:ascii="Arial" w:eastAsia="Times New Roman" w:hAnsi="Arial" w:cs="Times New Roman"/>
          <w:sz w:val="26"/>
          <w:szCs w:val="26"/>
        </w:rPr>
        <w:t>master-meter</w:t>
      </w:r>
      <w:r w:rsidRPr="005B3304">
        <w:rPr>
          <w:rFonts w:ascii="Arial" w:eastAsia="Times New Roman" w:hAnsi="Arial" w:cs="Times New Roman"/>
          <w:sz w:val="26"/>
          <w:szCs w:val="26"/>
        </w:rPr>
        <w:t xml:space="preserve"> discount that was discriminatory and in contravention of Public Utilities Code </w:t>
      </w:r>
      <w:r w:rsidR="00CC2C77" w:rsidRPr="005B3304">
        <w:rPr>
          <w:rFonts w:ascii="Arial" w:eastAsia="Times New Roman" w:hAnsi="Arial" w:cs="Arial"/>
          <w:sz w:val="26"/>
          <w:szCs w:val="26"/>
        </w:rPr>
        <w:t>§</w:t>
      </w:r>
      <w:r w:rsidRPr="005B3304">
        <w:rPr>
          <w:rFonts w:ascii="Arial" w:eastAsia="Times New Roman" w:hAnsi="Arial" w:cs="Times New Roman"/>
          <w:sz w:val="26"/>
          <w:szCs w:val="26"/>
        </w:rPr>
        <w:t xml:space="preserve">453 and </w:t>
      </w:r>
      <w:r w:rsidR="00CC2C77" w:rsidRPr="005B3304">
        <w:rPr>
          <w:rFonts w:ascii="Arial" w:eastAsia="Times New Roman" w:hAnsi="Arial" w:cs="Arial"/>
          <w:sz w:val="26"/>
          <w:szCs w:val="26"/>
        </w:rPr>
        <w:t>§</w:t>
      </w:r>
      <w:r w:rsidRPr="005B3304">
        <w:rPr>
          <w:rFonts w:ascii="Arial" w:eastAsia="Times New Roman" w:hAnsi="Arial" w:cs="Times New Roman"/>
          <w:sz w:val="26"/>
          <w:szCs w:val="26"/>
        </w:rPr>
        <w:t>739.5?</w:t>
      </w:r>
    </w:p>
    <w:p w:rsidR="003C222F" w:rsidRDefault="003C222F" w:rsidP="00E12B47">
      <w:pPr>
        <w:spacing w:after="0" w:line="480" w:lineRule="auto"/>
        <w:ind w:left="720"/>
        <w:rPr>
          <w:rFonts w:ascii="Arial" w:eastAsia="Times New Roman" w:hAnsi="Arial" w:cs="Times New Roman"/>
          <w:sz w:val="26"/>
          <w:szCs w:val="26"/>
        </w:rPr>
      </w:pPr>
      <w:r w:rsidRPr="005B3304">
        <w:rPr>
          <w:rFonts w:ascii="Arial" w:eastAsia="Times New Roman" w:hAnsi="Arial" w:cs="Times New Roman"/>
          <w:sz w:val="26"/>
          <w:szCs w:val="26"/>
        </w:rPr>
        <w:tab/>
        <w:t>2.</w:t>
      </w:r>
      <w:r w:rsidRPr="005B3304">
        <w:rPr>
          <w:rFonts w:ascii="Arial" w:eastAsia="Times New Roman" w:hAnsi="Arial" w:cs="Times New Roman"/>
          <w:sz w:val="26"/>
          <w:szCs w:val="26"/>
        </w:rPr>
        <w:tab/>
        <w:t>In improperly setting the differential in the underlying case, did the Commission fail to consider the impact on the master-metered customers in PG&amp;E’s service territory, resulting in preferential treatment to other similarly situat</w:t>
      </w:r>
      <w:r w:rsidR="00513A77" w:rsidRPr="005B3304">
        <w:rPr>
          <w:rFonts w:ascii="Arial" w:eastAsia="Times New Roman" w:hAnsi="Arial" w:cs="Times New Roman"/>
          <w:sz w:val="26"/>
          <w:szCs w:val="26"/>
        </w:rPr>
        <w:t>ed</w:t>
      </w:r>
      <w:r w:rsidR="00470CA5">
        <w:rPr>
          <w:rFonts w:ascii="Arial" w:eastAsia="Times New Roman" w:hAnsi="Arial" w:cs="Times New Roman"/>
          <w:sz w:val="26"/>
          <w:szCs w:val="26"/>
        </w:rPr>
        <w:t xml:space="preserve"> customers?</w:t>
      </w:r>
    </w:p>
    <w:p w:rsidR="003C222F" w:rsidRPr="005B3304" w:rsidRDefault="00E12B47" w:rsidP="00E12B47">
      <w:pPr>
        <w:spacing w:after="0" w:line="480" w:lineRule="auto"/>
        <w:ind w:left="720"/>
        <w:jc w:val="center"/>
        <w:rPr>
          <w:rFonts w:ascii="Arial" w:eastAsia="Times New Roman" w:hAnsi="Arial" w:cs="Times New Roman"/>
          <w:b/>
          <w:sz w:val="26"/>
          <w:szCs w:val="26"/>
          <w:u w:val="single"/>
        </w:rPr>
      </w:pPr>
      <w:r>
        <w:rPr>
          <w:rFonts w:ascii="Arial" w:eastAsia="Times New Roman" w:hAnsi="Arial" w:cs="Times New Roman"/>
          <w:b/>
          <w:sz w:val="26"/>
          <w:szCs w:val="26"/>
          <w:u w:val="single"/>
        </w:rPr>
        <w:t>I</w:t>
      </w:r>
      <w:r w:rsidR="003C222F" w:rsidRPr="005B3304">
        <w:rPr>
          <w:rFonts w:ascii="Arial" w:eastAsia="Times New Roman" w:hAnsi="Arial" w:cs="Times New Roman"/>
          <w:b/>
          <w:sz w:val="26"/>
          <w:szCs w:val="26"/>
          <w:u w:val="single"/>
        </w:rPr>
        <w:t>NTRODUCTION</w:t>
      </w:r>
    </w:p>
    <w:p w:rsidR="004F1805" w:rsidRPr="005B3304" w:rsidRDefault="003C222F" w:rsidP="00470CA5">
      <w:pPr>
        <w:spacing w:after="0" w:line="480" w:lineRule="auto"/>
        <w:ind w:left="720" w:firstLine="720"/>
        <w:rPr>
          <w:rFonts w:ascii="Arial" w:eastAsia="Times New Roman" w:hAnsi="Arial" w:cs="Times New Roman"/>
          <w:sz w:val="26"/>
          <w:szCs w:val="26"/>
        </w:rPr>
      </w:pPr>
      <w:r w:rsidRPr="005B3304">
        <w:rPr>
          <w:rFonts w:ascii="Arial" w:eastAsia="Times New Roman" w:hAnsi="Arial" w:cs="Times New Roman"/>
          <w:sz w:val="26"/>
          <w:szCs w:val="26"/>
        </w:rPr>
        <w:lastRenderedPageBreak/>
        <w:t>At issue in this case is the rate established by the Commission for the provision of electric service in manufactured housing communities, also know</w:t>
      </w:r>
      <w:r w:rsidR="00CA2A5C" w:rsidRPr="005B3304">
        <w:rPr>
          <w:rFonts w:ascii="Arial" w:eastAsia="Times New Roman" w:hAnsi="Arial" w:cs="Times New Roman"/>
          <w:sz w:val="26"/>
          <w:szCs w:val="26"/>
        </w:rPr>
        <w:t>n</w:t>
      </w:r>
      <w:r w:rsidRPr="005B3304">
        <w:rPr>
          <w:rFonts w:ascii="Arial" w:eastAsia="Times New Roman" w:hAnsi="Arial" w:cs="Times New Roman"/>
          <w:sz w:val="26"/>
          <w:szCs w:val="26"/>
        </w:rPr>
        <w:t xml:space="preserve"> as mobilehome parks, (</w:t>
      </w:r>
      <w:r w:rsidR="007B2B94" w:rsidRPr="005B3304">
        <w:rPr>
          <w:rFonts w:ascii="Arial" w:eastAsia="Times New Roman" w:hAnsi="Arial" w:cs="Times New Roman"/>
          <w:sz w:val="26"/>
          <w:szCs w:val="26"/>
        </w:rPr>
        <w:t>h</w:t>
      </w:r>
      <w:r w:rsidRPr="005B3304">
        <w:rPr>
          <w:rFonts w:ascii="Arial" w:eastAsia="Times New Roman" w:hAnsi="Arial" w:cs="Times New Roman"/>
          <w:sz w:val="26"/>
          <w:szCs w:val="26"/>
        </w:rPr>
        <w:t xml:space="preserve">ereinafter “MHPs) </w:t>
      </w:r>
      <w:r w:rsidR="00420C53" w:rsidRPr="005B3304">
        <w:rPr>
          <w:rFonts w:ascii="Arial" w:eastAsia="Times New Roman" w:hAnsi="Arial" w:cs="Times New Roman"/>
          <w:sz w:val="26"/>
          <w:szCs w:val="26"/>
        </w:rPr>
        <w:t xml:space="preserve">where that service is provided by the </w:t>
      </w:r>
      <w:r w:rsidR="00062FD6" w:rsidRPr="005B3304">
        <w:rPr>
          <w:rFonts w:ascii="Arial" w:eastAsia="Times New Roman" w:hAnsi="Arial" w:cs="Times New Roman"/>
          <w:sz w:val="26"/>
          <w:szCs w:val="26"/>
        </w:rPr>
        <w:t>owner</w:t>
      </w:r>
      <w:r w:rsidR="00420C53" w:rsidRPr="005B3304">
        <w:rPr>
          <w:rFonts w:ascii="Arial" w:eastAsia="Times New Roman" w:hAnsi="Arial" w:cs="Times New Roman"/>
          <w:sz w:val="26"/>
          <w:szCs w:val="26"/>
        </w:rPr>
        <w:t xml:space="preserve"> as opposed to the host utility, in this case P</w:t>
      </w:r>
      <w:r w:rsidR="00062FD6" w:rsidRPr="005B3304">
        <w:rPr>
          <w:rFonts w:ascii="Arial" w:eastAsia="Times New Roman" w:hAnsi="Arial" w:cs="Times New Roman"/>
          <w:sz w:val="26"/>
          <w:szCs w:val="26"/>
        </w:rPr>
        <w:t>acific Gas &amp; Electric Company (hereinafter “P</w:t>
      </w:r>
      <w:r w:rsidR="00420C53" w:rsidRPr="005B3304">
        <w:rPr>
          <w:rFonts w:ascii="Arial" w:eastAsia="Times New Roman" w:hAnsi="Arial" w:cs="Times New Roman"/>
          <w:sz w:val="26"/>
          <w:szCs w:val="26"/>
        </w:rPr>
        <w:t>G&amp;E</w:t>
      </w:r>
      <w:r w:rsidR="00062FD6" w:rsidRPr="005B3304">
        <w:rPr>
          <w:rFonts w:ascii="Arial" w:eastAsia="Times New Roman" w:hAnsi="Arial" w:cs="Times New Roman"/>
          <w:sz w:val="26"/>
          <w:szCs w:val="26"/>
        </w:rPr>
        <w:t>”)</w:t>
      </w:r>
      <w:r w:rsidR="00420C53" w:rsidRPr="005B3304">
        <w:rPr>
          <w:rFonts w:ascii="Arial" w:eastAsia="Times New Roman" w:hAnsi="Arial" w:cs="Times New Roman"/>
          <w:sz w:val="26"/>
          <w:szCs w:val="26"/>
        </w:rPr>
        <w:t xml:space="preserve">.  Electric service provided to residents </w:t>
      </w:r>
      <w:r w:rsidR="00062FD6" w:rsidRPr="005B3304">
        <w:rPr>
          <w:rFonts w:ascii="Arial" w:eastAsia="Times New Roman" w:hAnsi="Arial" w:cs="Times New Roman"/>
          <w:sz w:val="26"/>
          <w:szCs w:val="26"/>
        </w:rPr>
        <w:t xml:space="preserve">in </w:t>
      </w:r>
      <w:r w:rsidRPr="005B3304">
        <w:rPr>
          <w:rFonts w:ascii="Arial" w:eastAsia="Times New Roman" w:hAnsi="Arial" w:cs="Times New Roman"/>
          <w:sz w:val="26"/>
          <w:szCs w:val="26"/>
        </w:rPr>
        <w:t>M</w:t>
      </w:r>
      <w:r w:rsidR="00D93958" w:rsidRPr="005B3304">
        <w:rPr>
          <w:rFonts w:ascii="Arial" w:eastAsia="Times New Roman" w:hAnsi="Arial" w:cs="Times New Roman"/>
          <w:sz w:val="26"/>
          <w:szCs w:val="26"/>
        </w:rPr>
        <w:t>HPs</w:t>
      </w:r>
      <w:r w:rsidR="00062FD6" w:rsidRPr="005B3304">
        <w:rPr>
          <w:rFonts w:ascii="Arial" w:eastAsia="Times New Roman" w:hAnsi="Arial" w:cs="Times New Roman"/>
          <w:sz w:val="26"/>
          <w:szCs w:val="26"/>
        </w:rPr>
        <w:t xml:space="preserve"> </w:t>
      </w:r>
      <w:r w:rsidR="00420C53" w:rsidRPr="005B3304">
        <w:rPr>
          <w:rFonts w:ascii="Arial" w:eastAsia="Times New Roman" w:hAnsi="Arial" w:cs="Times New Roman"/>
          <w:sz w:val="26"/>
          <w:szCs w:val="26"/>
        </w:rPr>
        <w:t>by the owners is commonly referred to as “</w:t>
      </w:r>
      <w:r w:rsidR="00513A77" w:rsidRPr="005B3304">
        <w:rPr>
          <w:rFonts w:ascii="Arial" w:eastAsia="Times New Roman" w:hAnsi="Arial" w:cs="Times New Roman"/>
          <w:sz w:val="26"/>
          <w:szCs w:val="26"/>
        </w:rPr>
        <w:t>master-meter</w:t>
      </w:r>
      <w:r w:rsidR="00420C53" w:rsidRPr="005B3304">
        <w:rPr>
          <w:rFonts w:ascii="Arial" w:eastAsia="Times New Roman" w:hAnsi="Arial" w:cs="Times New Roman"/>
          <w:sz w:val="26"/>
          <w:szCs w:val="26"/>
        </w:rPr>
        <w:t>ed service” whereas when PG&amp;E provides electric service directly to the MHP resident, it is commonly referred to as “directly</w:t>
      </w:r>
      <w:r w:rsidR="00470CA5">
        <w:rPr>
          <w:rFonts w:ascii="Arial" w:eastAsia="Times New Roman" w:hAnsi="Arial" w:cs="Times New Roman"/>
          <w:sz w:val="26"/>
          <w:szCs w:val="26"/>
        </w:rPr>
        <w:t>-</w:t>
      </w:r>
      <w:r w:rsidR="00420C53" w:rsidRPr="005B3304">
        <w:rPr>
          <w:rFonts w:ascii="Arial" w:eastAsia="Times New Roman" w:hAnsi="Arial" w:cs="Times New Roman"/>
          <w:sz w:val="26"/>
          <w:szCs w:val="26"/>
        </w:rPr>
        <w:t>metered service.”</w:t>
      </w:r>
    </w:p>
    <w:p w:rsidR="00420C53" w:rsidRPr="005B3304" w:rsidRDefault="00420C53" w:rsidP="00E12B47">
      <w:pPr>
        <w:spacing w:after="0" w:line="480" w:lineRule="auto"/>
        <w:ind w:left="720"/>
        <w:rPr>
          <w:rFonts w:ascii="Arial" w:eastAsia="Times New Roman" w:hAnsi="Arial" w:cs="Times New Roman"/>
          <w:sz w:val="26"/>
          <w:szCs w:val="26"/>
        </w:rPr>
      </w:pPr>
      <w:r w:rsidRPr="005B3304">
        <w:rPr>
          <w:rFonts w:ascii="Arial" w:eastAsia="Times New Roman" w:hAnsi="Arial" w:cs="Times New Roman"/>
          <w:sz w:val="26"/>
          <w:szCs w:val="26"/>
        </w:rPr>
        <w:tab/>
        <w:t xml:space="preserve">Master-metered </w:t>
      </w:r>
      <w:r w:rsidR="00F033F1" w:rsidRPr="005B3304">
        <w:rPr>
          <w:rFonts w:ascii="Arial" w:eastAsia="Times New Roman" w:hAnsi="Arial" w:cs="Times New Roman"/>
          <w:sz w:val="26"/>
          <w:szCs w:val="26"/>
        </w:rPr>
        <w:t>MHPs</w:t>
      </w:r>
      <w:r w:rsidRPr="005B3304">
        <w:rPr>
          <w:rFonts w:ascii="Arial" w:eastAsia="Times New Roman" w:hAnsi="Arial" w:cs="Times New Roman"/>
          <w:sz w:val="26"/>
          <w:szCs w:val="26"/>
        </w:rPr>
        <w:t xml:space="preserve"> parks </w:t>
      </w:r>
      <w:r w:rsidR="00513A77" w:rsidRPr="005B3304">
        <w:rPr>
          <w:rFonts w:ascii="Arial" w:eastAsia="Times New Roman" w:hAnsi="Arial" w:cs="Times New Roman"/>
          <w:sz w:val="26"/>
          <w:szCs w:val="26"/>
        </w:rPr>
        <w:t>provide</w:t>
      </w:r>
      <w:r w:rsidRPr="005B3304">
        <w:rPr>
          <w:rFonts w:ascii="Arial" w:eastAsia="Times New Roman" w:hAnsi="Arial" w:cs="Times New Roman"/>
          <w:sz w:val="26"/>
          <w:szCs w:val="26"/>
        </w:rPr>
        <w:t xml:space="preserve"> a privately-owned electric distribution to </w:t>
      </w:r>
      <w:r w:rsidR="00513A77" w:rsidRPr="005B3304">
        <w:rPr>
          <w:rFonts w:ascii="Arial" w:eastAsia="Times New Roman" w:hAnsi="Arial" w:cs="Times New Roman"/>
          <w:sz w:val="26"/>
          <w:szCs w:val="26"/>
        </w:rPr>
        <w:t>deliver</w:t>
      </w:r>
      <w:r w:rsidRPr="005B3304">
        <w:rPr>
          <w:rFonts w:ascii="Arial" w:eastAsia="Times New Roman" w:hAnsi="Arial" w:cs="Times New Roman"/>
          <w:sz w:val="26"/>
          <w:szCs w:val="26"/>
        </w:rPr>
        <w:t xml:space="preserve"> electric service to individual tenants residing in individual </w:t>
      </w:r>
      <w:r w:rsidR="00470CA5">
        <w:rPr>
          <w:rFonts w:ascii="Arial" w:eastAsia="Times New Roman" w:hAnsi="Arial" w:cs="Times New Roman"/>
          <w:sz w:val="26"/>
          <w:szCs w:val="26"/>
        </w:rPr>
        <w:t>residents</w:t>
      </w:r>
      <w:r w:rsidRPr="005B3304">
        <w:rPr>
          <w:rFonts w:ascii="Arial" w:eastAsia="Times New Roman" w:hAnsi="Arial" w:cs="Times New Roman"/>
          <w:sz w:val="26"/>
          <w:szCs w:val="26"/>
        </w:rPr>
        <w:t xml:space="preserve"> located on individual lots within a</w:t>
      </w:r>
      <w:r w:rsidR="00C61406" w:rsidRPr="005B3304">
        <w:rPr>
          <w:rFonts w:ascii="Arial" w:eastAsia="Times New Roman" w:hAnsi="Arial" w:cs="Times New Roman"/>
          <w:sz w:val="26"/>
          <w:szCs w:val="26"/>
        </w:rPr>
        <w:t>n M</w:t>
      </w:r>
      <w:r w:rsidR="00D93958" w:rsidRPr="005B3304">
        <w:rPr>
          <w:rFonts w:ascii="Arial" w:eastAsia="Times New Roman" w:hAnsi="Arial" w:cs="Times New Roman"/>
          <w:sz w:val="26"/>
          <w:szCs w:val="26"/>
        </w:rPr>
        <w:t>HP</w:t>
      </w:r>
      <w:r w:rsidR="00F033F1" w:rsidRPr="005B3304">
        <w:rPr>
          <w:rFonts w:ascii="Arial" w:eastAsia="Times New Roman" w:hAnsi="Arial" w:cs="Times New Roman"/>
          <w:sz w:val="26"/>
          <w:szCs w:val="26"/>
        </w:rPr>
        <w:t>.</w:t>
      </w:r>
      <w:r w:rsidRPr="005B3304">
        <w:rPr>
          <w:rFonts w:ascii="Arial" w:eastAsia="Times New Roman" w:hAnsi="Arial" w:cs="Times New Roman"/>
          <w:sz w:val="26"/>
          <w:szCs w:val="26"/>
        </w:rPr>
        <w:t xml:space="preserve">  The owner purchases electricity from the local serving utility to serve both common areas and residential tenants</w:t>
      </w:r>
      <w:r w:rsidR="00470CA5">
        <w:rPr>
          <w:rFonts w:ascii="Arial" w:eastAsia="Times New Roman" w:hAnsi="Arial" w:cs="Times New Roman"/>
          <w:sz w:val="26"/>
          <w:szCs w:val="26"/>
        </w:rPr>
        <w:t xml:space="preserve">.  The owner </w:t>
      </w:r>
      <w:r w:rsidRPr="005B3304">
        <w:rPr>
          <w:rFonts w:ascii="Arial" w:eastAsia="Times New Roman" w:hAnsi="Arial" w:cs="Times New Roman"/>
          <w:sz w:val="26"/>
          <w:szCs w:val="26"/>
        </w:rPr>
        <w:t xml:space="preserve">is a </w:t>
      </w:r>
      <w:r w:rsidR="007B2B94" w:rsidRPr="005B3304">
        <w:rPr>
          <w:rFonts w:ascii="Arial" w:eastAsia="Times New Roman" w:hAnsi="Arial" w:cs="Times New Roman"/>
          <w:sz w:val="26"/>
          <w:szCs w:val="26"/>
        </w:rPr>
        <w:t>residential</w:t>
      </w:r>
      <w:r w:rsidRPr="005B3304">
        <w:rPr>
          <w:rFonts w:ascii="Arial" w:eastAsia="Times New Roman" w:hAnsi="Arial" w:cs="Times New Roman"/>
          <w:sz w:val="26"/>
          <w:szCs w:val="26"/>
        </w:rPr>
        <w:t xml:space="preserve"> electricity service customer of PG&amp;E, </w:t>
      </w:r>
      <w:r w:rsidR="00062FD6" w:rsidRPr="005B3304">
        <w:rPr>
          <w:rFonts w:ascii="Arial" w:eastAsia="Times New Roman" w:hAnsi="Arial" w:cs="Times New Roman"/>
          <w:sz w:val="26"/>
          <w:szCs w:val="26"/>
        </w:rPr>
        <w:t xml:space="preserve">but </w:t>
      </w:r>
      <w:r w:rsidRPr="005B3304">
        <w:rPr>
          <w:rFonts w:ascii="Arial" w:eastAsia="Times New Roman" w:hAnsi="Arial" w:cs="Times New Roman"/>
          <w:sz w:val="26"/>
          <w:szCs w:val="26"/>
        </w:rPr>
        <w:t xml:space="preserve">not a wholesale purchaser of bulk power.  In this case, </w:t>
      </w:r>
      <w:r w:rsidR="00062FD6" w:rsidRPr="005B3304">
        <w:rPr>
          <w:rFonts w:ascii="Arial" w:eastAsia="Times New Roman" w:hAnsi="Arial" w:cs="Times New Roman"/>
          <w:sz w:val="26"/>
          <w:szCs w:val="26"/>
        </w:rPr>
        <w:t xml:space="preserve">the </w:t>
      </w:r>
      <w:r w:rsidRPr="005B3304">
        <w:rPr>
          <w:rFonts w:ascii="Arial" w:eastAsia="Times New Roman" w:hAnsi="Arial" w:cs="Times New Roman"/>
          <w:sz w:val="26"/>
          <w:szCs w:val="26"/>
        </w:rPr>
        <w:t xml:space="preserve">owners purchase electricity </w:t>
      </w:r>
      <w:r w:rsidR="00D93958" w:rsidRPr="005B3304">
        <w:rPr>
          <w:rFonts w:ascii="Arial" w:eastAsia="Times New Roman" w:hAnsi="Arial" w:cs="Times New Roman"/>
          <w:sz w:val="26"/>
          <w:szCs w:val="26"/>
        </w:rPr>
        <w:t xml:space="preserve">from </w:t>
      </w:r>
      <w:r w:rsidRPr="005B3304">
        <w:rPr>
          <w:rFonts w:ascii="Arial" w:eastAsia="Times New Roman" w:hAnsi="Arial" w:cs="Times New Roman"/>
          <w:sz w:val="26"/>
          <w:szCs w:val="26"/>
        </w:rPr>
        <w:t xml:space="preserve">PG&amp;E at </w:t>
      </w:r>
      <w:r w:rsidR="00513A77" w:rsidRPr="005B3304">
        <w:rPr>
          <w:rFonts w:ascii="Arial" w:eastAsia="Times New Roman" w:hAnsi="Arial" w:cs="Times New Roman"/>
          <w:sz w:val="26"/>
          <w:szCs w:val="26"/>
        </w:rPr>
        <w:t xml:space="preserve">the </w:t>
      </w:r>
      <w:r w:rsidRPr="005B3304">
        <w:rPr>
          <w:rFonts w:ascii="Arial" w:eastAsia="Times New Roman" w:hAnsi="Arial" w:cs="Times New Roman"/>
          <w:sz w:val="26"/>
          <w:szCs w:val="26"/>
        </w:rPr>
        <w:t>fully bundled residential rate.  The owner</w:t>
      </w:r>
      <w:r w:rsidR="00470CA5">
        <w:rPr>
          <w:rFonts w:ascii="Arial" w:eastAsia="Times New Roman" w:hAnsi="Arial" w:cs="Times New Roman"/>
          <w:sz w:val="26"/>
          <w:szCs w:val="26"/>
        </w:rPr>
        <w:t>, in turn,</w:t>
      </w:r>
      <w:r w:rsidRPr="005B3304">
        <w:rPr>
          <w:rFonts w:ascii="Arial" w:eastAsia="Times New Roman" w:hAnsi="Arial" w:cs="Times New Roman"/>
          <w:sz w:val="26"/>
          <w:szCs w:val="26"/>
        </w:rPr>
        <w:t xml:space="preserve"> must provide electricity and all other supportive services necessary to deliver safe and reliable electric service to the resident tenants.  PG&amp;E</w:t>
      </w:r>
      <w:r w:rsidR="00470CA5">
        <w:rPr>
          <w:rFonts w:ascii="Arial" w:eastAsia="Times New Roman" w:hAnsi="Arial" w:cs="Times New Roman"/>
          <w:sz w:val="26"/>
          <w:szCs w:val="26"/>
        </w:rPr>
        <w:t>, by statute,</w:t>
      </w:r>
      <w:r w:rsidRPr="005B3304">
        <w:rPr>
          <w:rFonts w:ascii="Arial" w:eastAsia="Times New Roman" w:hAnsi="Arial" w:cs="Times New Roman"/>
          <w:sz w:val="26"/>
          <w:szCs w:val="26"/>
        </w:rPr>
        <w:t xml:space="preserve"> is </w:t>
      </w:r>
      <w:r w:rsidR="00470CA5">
        <w:rPr>
          <w:rFonts w:ascii="Arial" w:eastAsia="Times New Roman" w:hAnsi="Arial" w:cs="Times New Roman"/>
          <w:sz w:val="26"/>
          <w:szCs w:val="26"/>
        </w:rPr>
        <w:t xml:space="preserve">then </w:t>
      </w:r>
      <w:r w:rsidRPr="005B3304">
        <w:rPr>
          <w:rFonts w:ascii="Arial" w:eastAsia="Times New Roman" w:hAnsi="Arial" w:cs="Times New Roman"/>
          <w:sz w:val="26"/>
          <w:szCs w:val="26"/>
        </w:rPr>
        <w:t xml:space="preserve">required to discount the total bill for the costs they </w:t>
      </w:r>
      <w:r w:rsidR="00513A77" w:rsidRPr="005B3304">
        <w:rPr>
          <w:rFonts w:ascii="Arial" w:eastAsia="Times New Roman" w:hAnsi="Arial" w:cs="Times New Roman"/>
          <w:sz w:val="26"/>
          <w:szCs w:val="26"/>
        </w:rPr>
        <w:t xml:space="preserve">would have otherwise incurred </w:t>
      </w:r>
      <w:r w:rsidRPr="005B3304">
        <w:rPr>
          <w:rFonts w:ascii="Arial" w:eastAsia="Times New Roman" w:hAnsi="Arial" w:cs="Times New Roman"/>
          <w:sz w:val="26"/>
          <w:szCs w:val="26"/>
        </w:rPr>
        <w:t xml:space="preserve">by having the owner provide distribution and other services related to delivering </w:t>
      </w:r>
      <w:r w:rsidRPr="005B3304">
        <w:rPr>
          <w:rFonts w:ascii="Arial" w:eastAsia="Times New Roman" w:hAnsi="Arial" w:cs="Times New Roman"/>
          <w:sz w:val="26"/>
          <w:szCs w:val="26"/>
        </w:rPr>
        <w:lastRenderedPageBreak/>
        <w:t>electricity to the individual residents that PG&amp;E would otherwise provide</w:t>
      </w:r>
      <w:r w:rsidR="007B2B94" w:rsidRPr="005B3304">
        <w:rPr>
          <w:rFonts w:ascii="Arial" w:eastAsia="Times New Roman" w:hAnsi="Arial" w:cs="Times New Roman"/>
          <w:sz w:val="26"/>
          <w:szCs w:val="26"/>
        </w:rPr>
        <w:t xml:space="preserve"> if the MHP were </w:t>
      </w:r>
      <w:r w:rsidR="00513A77" w:rsidRPr="005B3304">
        <w:rPr>
          <w:rFonts w:ascii="Arial" w:eastAsia="Times New Roman" w:hAnsi="Arial" w:cs="Times New Roman"/>
          <w:sz w:val="26"/>
          <w:szCs w:val="26"/>
        </w:rPr>
        <w:t>directly-served</w:t>
      </w:r>
      <w:r w:rsidR="007B2B94" w:rsidRPr="005B3304">
        <w:rPr>
          <w:rFonts w:ascii="Arial" w:eastAsia="Times New Roman" w:hAnsi="Arial" w:cs="Times New Roman"/>
          <w:sz w:val="26"/>
          <w:szCs w:val="26"/>
        </w:rPr>
        <w:t xml:space="preserve"> by PG&amp;E.</w:t>
      </w:r>
      <w:r w:rsidRPr="005B3304">
        <w:rPr>
          <w:rFonts w:ascii="Arial" w:eastAsia="Times New Roman" w:hAnsi="Arial" w:cs="Times New Roman"/>
          <w:sz w:val="26"/>
          <w:szCs w:val="26"/>
        </w:rPr>
        <w:t xml:space="preserve">  </w:t>
      </w:r>
    </w:p>
    <w:p w:rsidR="00420C53" w:rsidRPr="005B3304" w:rsidRDefault="00420C53" w:rsidP="00E12B47">
      <w:pPr>
        <w:spacing w:after="0" w:line="480" w:lineRule="auto"/>
        <w:ind w:left="720"/>
        <w:rPr>
          <w:rFonts w:ascii="Arial" w:eastAsia="Times New Roman" w:hAnsi="Arial" w:cs="Times New Roman"/>
          <w:sz w:val="26"/>
          <w:szCs w:val="26"/>
        </w:rPr>
      </w:pPr>
      <w:r w:rsidRPr="005B3304">
        <w:rPr>
          <w:rFonts w:ascii="Arial" w:eastAsia="Times New Roman" w:hAnsi="Arial" w:cs="Times New Roman"/>
          <w:sz w:val="26"/>
          <w:szCs w:val="26"/>
        </w:rPr>
        <w:tab/>
        <w:t xml:space="preserve">The owner </w:t>
      </w:r>
      <w:r w:rsidR="007B2B94" w:rsidRPr="005B3304">
        <w:rPr>
          <w:rFonts w:ascii="Arial" w:eastAsia="Times New Roman" w:hAnsi="Arial" w:cs="Times New Roman"/>
          <w:sz w:val="26"/>
          <w:szCs w:val="26"/>
        </w:rPr>
        <w:t xml:space="preserve">of the </w:t>
      </w:r>
      <w:r w:rsidR="00513A77" w:rsidRPr="005B3304">
        <w:rPr>
          <w:rFonts w:ascii="Arial" w:eastAsia="Times New Roman" w:hAnsi="Arial" w:cs="Times New Roman"/>
          <w:sz w:val="26"/>
          <w:szCs w:val="26"/>
        </w:rPr>
        <w:t>master-meter</w:t>
      </w:r>
      <w:r w:rsidR="007B2B94" w:rsidRPr="005B3304">
        <w:rPr>
          <w:rFonts w:ascii="Arial" w:eastAsia="Times New Roman" w:hAnsi="Arial" w:cs="Times New Roman"/>
          <w:sz w:val="26"/>
          <w:szCs w:val="26"/>
        </w:rPr>
        <w:t xml:space="preserve">ed MHP </w:t>
      </w:r>
      <w:r w:rsidRPr="005B3304">
        <w:rPr>
          <w:rFonts w:ascii="Arial" w:eastAsia="Times New Roman" w:hAnsi="Arial" w:cs="Times New Roman"/>
          <w:sz w:val="26"/>
          <w:szCs w:val="26"/>
        </w:rPr>
        <w:t>stands in the shoes of PG&amp;E when charging resident tenants for electric utility service</w:t>
      </w:r>
      <w:r w:rsidR="00062FD6" w:rsidRPr="005B3304">
        <w:rPr>
          <w:rFonts w:ascii="Arial" w:eastAsia="Times New Roman" w:hAnsi="Arial" w:cs="Times New Roman"/>
          <w:sz w:val="26"/>
          <w:szCs w:val="26"/>
        </w:rPr>
        <w:t xml:space="preserve">, and is </w:t>
      </w:r>
      <w:r w:rsidRPr="005B3304">
        <w:rPr>
          <w:rFonts w:ascii="Arial" w:eastAsia="Times New Roman" w:hAnsi="Arial" w:cs="Times New Roman"/>
          <w:sz w:val="26"/>
          <w:szCs w:val="26"/>
        </w:rPr>
        <w:t xml:space="preserve">constrained by statute to charge the same rate the resident tenant would pay if PG&amp;E provided the service directly.  In turn, the owner receives a discount on its bill from the full, bundled </w:t>
      </w:r>
      <w:r w:rsidR="00513A77" w:rsidRPr="005B3304">
        <w:rPr>
          <w:rFonts w:ascii="Arial" w:eastAsia="Times New Roman" w:hAnsi="Arial" w:cs="Times New Roman"/>
          <w:sz w:val="26"/>
          <w:szCs w:val="26"/>
        </w:rPr>
        <w:t xml:space="preserve">default </w:t>
      </w:r>
      <w:r w:rsidRPr="005B3304">
        <w:rPr>
          <w:rFonts w:ascii="Arial" w:eastAsia="Times New Roman" w:hAnsi="Arial" w:cs="Times New Roman"/>
          <w:sz w:val="26"/>
          <w:szCs w:val="26"/>
        </w:rPr>
        <w:t>re</w:t>
      </w:r>
      <w:r w:rsidR="007B2B94" w:rsidRPr="005B3304">
        <w:rPr>
          <w:rFonts w:ascii="Arial" w:eastAsia="Times New Roman" w:hAnsi="Arial" w:cs="Times New Roman"/>
          <w:sz w:val="26"/>
          <w:szCs w:val="26"/>
        </w:rPr>
        <w:t>sidential</w:t>
      </w:r>
      <w:r w:rsidRPr="005B3304">
        <w:rPr>
          <w:rFonts w:ascii="Arial" w:eastAsia="Times New Roman" w:hAnsi="Arial" w:cs="Times New Roman"/>
          <w:sz w:val="26"/>
          <w:szCs w:val="26"/>
        </w:rPr>
        <w:t xml:space="preserve"> rate charged by PG&amp;E.  Simply stated, the discount is calculated by multiplying the adopted rate by the </w:t>
      </w:r>
      <w:r w:rsidR="00513A77" w:rsidRPr="005B3304">
        <w:rPr>
          <w:rFonts w:ascii="Arial" w:eastAsia="Times New Roman" w:hAnsi="Arial" w:cs="Times New Roman"/>
          <w:sz w:val="26"/>
          <w:szCs w:val="26"/>
        </w:rPr>
        <w:t xml:space="preserve">sum of the </w:t>
      </w:r>
      <w:r w:rsidRPr="005B3304">
        <w:rPr>
          <w:rFonts w:ascii="Arial" w:eastAsia="Times New Roman" w:hAnsi="Arial" w:cs="Times New Roman"/>
          <w:sz w:val="26"/>
          <w:szCs w:val="26"/>
        </w:rPr>
        <w:t xml:space="preserve">residential tenants’ metered usage for each billing period.  </w:t>
      </w:r>
    </w:p>
    <w:p w:rsidR="00420C53" w:rsidRPr="005B3304" w:rsidRDefault="00420C53" w:rsidP="00E12B47">
      <w:pPr>
        <w:spacing w:after="0" w:line="480" w:lineRule="auto"/>
        <w:ind w:left="720" w:firstLine="720"/>
        <w:rPr>
          <w:rFonts w:ascii="Arial" w:eastAsia="Times New Roman" w:hAnsi="Arial" w:cs="Times New Roman"/>
          <w:sz w:val="26"/>
          <w:szCs w:val="26"/>
        </w:rPr>
      </w:pPr>
      <w:r w:rsidRPr="005B3304">
        <w:rPr>
          <w:rFonts w:ascii="Arial" w:eastAsia="Times New Roman" w:hAnsi="Arial" w:cs="Times New Roman"/>
          <w:sz w:val="26"/>
          <w:szCs w:val="26"/>
        </w:rPr>
        <w:t>In this manner, the resident tenants are protected</w:t>
      </w:r>
      <w:r w:rsidR="00062FD6" w:rsidRPr="005B3304">
        <w:rPr>
          <w:rFonts w:ascii="Arial" w:eastAsia="Times New Roman" w:hAnsi="Arial" w:cs="Times New Roman"/>
          <w:sz w:val="26"/>
          <w:szCs w:val="26"/>
        </w:rPr>
        <w:t xml:space="preserve">, as is the owner, </w:t>
      </w:r>
      <w:r w:rsidRPr="005B3304">
        <w:rPr>
          <w:rFonts w:ascii="Arial" w:eastAsia="Times New Roman" w:hAnsi="Arial" w:cs="Times New Roman"/>
          <w:sz w:val="26"/>
          <w:szCs w:val="26"/>
        </w:rPr>
        <w:t xml:space="preserve">from any unreasonable difference in rates for the provision of identical service to residential customers who reside in </w:t>
      </w:r>
      <w:r w:rsidR="00513A77" w:rsidRPr="005B3304">
        <w:rPr>
          <w:rFonts w:ascii="Arial" w:eastAsia="Times New Roman" w:hAnsi="Arial" w:cs="Times New Roman"/>
          <w:sz w:val="26"/>
          <w:szCs w:val="26"/>
        </w:rPr>
        <w:t xml:space="preserve">all </w:t>
      </w:r>
      <w:r w:rsidRPr="005B3304">
        <w:rPr>
          <w:rFonts w:ascii="Arial" w:eastAsia="Times New Roman" w:hAnsi="Arial" w:cs="Times New Roman"/>
          <w:sz w:val="26"/>
          <w:szCs w:val="26"/>
        </w:rPr>
        <w:t xml:space="preserve">MHPs.  In this case, the Commission departed from the statutory requirement of Section 739.5 that </w:t>
      </w:r>
      <w:r w:rsidR="00062FD6" w:rsidRPr="005B3304">
        <w:rPr>
          <w:rFonts w:ascii="Arial" w:eastAsia="Times New Roman" w:hAnsi="Arial" w:cs="Times New Roman"/>
          <w:sz w:val="26"/>
          <w:szCs w:val="26"/>
        </w:rPr>
        <w:t xml:space="preserve">required </w:t>
      </w:r>
      <w:r w:rsidRPr="005B3304">
        <w:rPr>
          <w:rFonts w:ascii="Arial" w:eastAsia="Times New Roman" w:hAnsi="Arial" w:cs="Times New Roman"/>
          <w:sz w:val="26"/>
          <w:szCs w:val="26"/>
        </w:rPr>
        <w:t xml:space="preserve">the differential be set at the rate charged by </w:t>
      </w:r>
      <w:r w:rsidR="00470CA5">
        <w:rPr>
          <w:rFonts w:ascii="Arial" w:eastAsia="Times New Roman" w:hAnsi="Arial" w:cs="Times New Roman"/>
          <w:sz w:val="26"/>
          <w:szCs w:val="26"/>
        </w:rPr>
        <w:t>PG&amp;E</w:t>
      </w:r>
      <w:r w:rsidRPr="005B3304">
        <w:rPr>
          <w:rFonts w:ascii="Arial" w:eastAsia="Times New Roman" w:hAnsi="Arial" w:cs="Times New Roman"/>
          <w:sz w:val="26"/>
          <w:szCs w:val="26"/>
        </w:rPr>
        <w:t xml:space="preserve"> to its </w:t>
      </w:r>
      <w:r w:rsidR="00513A77" w:rsidRPr="005B3304">
        <w:rPr>
          <w:rFonts w:ascii="Arial" w:eastAsia="Times New Roman" w:hAnsi="Arial" w:cs="Times New Roman"/>
          <w:sz w:val="26"/>
          <w:szCs w:val="26"/>
        </w:rPr>
        <w:t>directly-served</w:t>
      </w:r>
      <w:r w:rsidRPr="005B3304">
        <w:rPr>
          <w:rFonts w:ascii="Arial" w:eastAsia="Times New Roman" w:hAnsi="Arial" w:cs="Times New Roman"/>
          <w:sz w:val="26"/>
          <w:szCs w:val="26"/>
        </w:rPr>
        <w:t xml:space="preserve"> residential customers and instead adopted a lower, different rate that did not reflect either the rate charged by the owner</w:t>
      </w:r>
      <w:r w:rsidR="00062FD6" w:rsidRPr="005B3304">
        <w:rPr>
          <w:rFonts w:ascii="Arial" w:eastAsia="Times New Roman" w:hAnsi="Arial" w:cs="Times New Roman"/>
          <w:sz w:val="26"/>
          <w:szCs w:val="26"/>
        </w:rPr>
        <w:t>s</w:t>
      </w:r>
      <w:r w:rsidRPr="005B3304">
        <w:rPr>
          <w:rFonts w:ascii="Arial" w:eastAsia="Times New Roman" w:hAnsi="Arial" w:cs="Times New Roman"/>
          <w:sz w:val="26"/>
          <w:szCs w:val="26"/>
        </w:rPr>
        <w:t xml:space="preserve"> to their </w:t>
      </w:r>
      <w:r w:rsidR="00470CA5">
        <w:rPr>
          <w:rFonts w:ascii="Arial" w:eastAsia="Times New Roman" w:hAnsi="Arial" w:cs="Times New Roman"/>
          <w:sz w:val="26"/>
          <w:szCs w:val="26"/>
        </w:rPr>
        <w:t xml:space="preserve">resident </w:t>
      </w:r>
      <w:r w:rsidRPr="005B3304">
        <w:rPr>
          <w:rFonts w:ascii="Arial" w:eastAsia="Times New Roman" w:hAnsi="Arial" w:cs="Times New Roman"/>
          <w:sz w:val="26"/>
          <w:szCs w:val="26"/>
        </w:rPr>
        <w:t>tenants nor the rate that PG&amp;E charged to the</w:t>
      </w:r>
      <w:r w:rsidR="00470CA5">
        <w:rPr>
          <w:rFonts w:ascii="Arial" w:eastAsia="Times New Roman" w:hAnsi="Arial" w:cs="Times New Roman"/>
          <w:sz w:val="26"/>
          <w:szCs w:val="26"/>
        </w:rPr>
        <w:t>ir directly-metered</w:t>
      </w:r>
      <w:r w:rsidRPr="005B3304">
        <w:rPr>
          <w:rFonts w:ascii="Arial" w:eastAsia="Times New Roman" w:hAnsi="Arial" w:cs="Times New Roman"/>
          <w:sz w:val="26"/>
          <w:szCs w:val="26"/>
        </w:rPr>
        <w:t xml:space="preserve"> resident tenants.  Th</w:t>
      </w:r>
      <w:r w:rsidR="00470CA5">
        <w:rPr>
          <w:rFonts w:ascii="Arial" w:eastAsia="Times New Roman" w:hAnsi="Arial" w:cs="Times New Roman"/>
          <w:sz w:val="26"/>
          <w:szCs w:val="26"/>
        </w:rPr>
        <w:t xml:space="preserve">e Commissions’ actions are </w:t>
      </w:r>
      <w:r w:rsidRPr="005B3304">
        <w:rPr>
          <w:rFonts w:ascii="Arial" w:eastAsia="Times New Roman" w:hAnsi="Arial" w:cs="Times New Roman"/>
          <w:sz w:val="26"/>
          <w:szCs w:val="26"/>
        </w:rPr>
        <w:t>not only unreasonabl</w:t>
      </w:r>
      <w:r w:rsidR="007B2B94" w:rsidRPr="005B3304">
        <w:rPr>
          <w:rFonts w:ascii="Arial" w:eastAsia="Times New Roman" w:hAnsi="Arial" w:cs="Times New Roman"/>
          <w:sz w:val="26"/>
          <w:szCs w:val="26"/>
        </w:rPr>
        <w:t>e</w:t>
      </w:r>
      <w:r w:rsidRPr="005B3304">
        <w:rPr>
          <w:rFonts w:ascii="Arial" w:eastAsia="Times New Roman" w:hAnsi="Arial" w:cs="Times New Roman"/>
          <w:sz w:val="26"/>
          <w:szCs w:val="26"/>
        </w:rPr>
        <w:t xml:space="preserve"> </w:t>
      </w:r>
      <w:r w:rsidR="00062FD6" w:rsidRPr="005B3304">
        <w:rPr>
          <w:rFonts w:ascii="Arial" w:eastAsia="Times New Roman" w:hAnsi="Arial" w:cs="Times New Roman"/>
          <w:sz w:val="26"/>
          <w:szCs w:val="26"/>
        </w:rPr>
        <w:t xml:space="preserve">and </w:t>
      </w:r>
      <w:r w:rsidRPr="005B3304">
        <w:rPr>
          <w:rFonts w:ascii="Arial" w:eastAsia="Times New Roman" w:hAnsi="Arial" w:cs="Times New Roman"/>
          <w:sz w:val="26"/>
          <w:szCs w:val="26"/>
        </w:rPr>
        <w:t xml:space="preserve">discriminatory, </w:t>
      </w:r>
      <w:r w:rsidR="00470CA5">
        <w:rPr>
          <w:rFonts w:ascii="Arial" w:eastAsia="Times New Roman" w:hAnsi="Arial" w:cs="Times New Roman"/>
          <w:sz w:val="26"/>
          <w:szCs w:val="26"/>
        </w:rPr>
        <w:t>but are i</w:t>
      </w:r>
      <w:r w:rsidRPr="005B3304">
        <w:rPr>
          <w:rFonts w:ascii="Arial" w:eastAsia="Times New Roman" w:hAnsi="Arial" w:cs="Times New Roman"/>
          <w:sz w:val="26"/>
          <w:szCs w:val="26"/>
        </w:rPr>
        <w:t xml:space="preserve">n contravention of Section 739.5 and therefore unlawful.  </w:t>
      </w:r>
    </w:p>
    <w:p w:rsidR="00420C53" w:rsidRPr="005B3304" w:rsidRDefault="00420C53" w:rsidP="00E12B47">
      <w:pPr>
        <w:spacing w:after="0" w:line="480" w:lineRule="auto"/>
        <w:ind w:left="720"/>
        <w:rPr>
          <w:rFonts w:ascii="Arial" w:eastAsia="Times New Roman" w:hAnsi="Arial" w:cs="Times New Roman"/>
          <w:sz w:val="26"/>
          <w:szCs w:val="26"/>
        </w:rPr>
      </w:pPr>
      <w:r w:rsidRPr="005B3304">
        <w:rPr>
          <w:rFonts w:ascii="Arial" w:eastAsia="Times New Roman" w:hAnsi="Arial" w:cs="Times New Roman"/>
          <w:sz w:val="26"/>
          <w:szCs w:val="26"/>
        </w:rPr>
        <w:tab/>
        <w:t xml:space="preserve">In improperly setting the differential in the underlying case, the Commission failed to consider the impact on the master-metered </w:t>
      </w:r>
      <w:r w:rsidR="00062FD6" w:rsidRPr="005B3304">
        <w:rPr>
          <w:rFonts w:ascii="Arial" w:eastAsia="Times New Roman" w:hAnsi="Arial" w:cs="Times New Roman"/>
          <w:sz w:val="26"/>
          <w:szCs w:val="26"/>
        </w:rPr>
        <w:t xml:space="preserve">customers </w:t>
      </w:r>
      <w:r w:rsidRPr="005B3304">
        <w:rPr>
          <w:rFonts w:ascii="Arial" w:eastAsia="Times New Roman" w:hAnsi="Arial" w:cs="Times New Roman"/>
          <w:sz w:val="26"/>
          <w:szCs w:val="26"/>
        </w:rPr>
        <w:t>in PG&amp;E’s service territory. The impact of under</w:t>
      </w:r>
      <w:r w:rsidR="00062FD6" w:rsidRPr="005B3304">
        <w:rPr>
          <w:rFonts w:ascii="Arial" w:eastAsia="Times New Roman" w:hAnsi="Arial" w:cs="Times New Roman"/>
          <w:sz w:val="26"/>
          <w:szCs w:val="26"/>
        </w:rPr>
        <w:t>-</w:t>
      </w:r>
      <w:r w:rsidRPr="005B3304">
        <w:rPr>
          <w:rFonts w:ascii="Arial" w:eastAsia="Times New Roman" w:hAnsi="Arial" w:cs="Times New Roman"/>
          <w:sz w:val="26"/>
          <w:szCs w:val="26"/>
        </w:rPr>
        <w:t xml:space="preserve">recovery of costs through the inadequate differential amounts to preferential treatment in favor of PG&amp;E, disadvantage </w:t>
      </w:r>
      <w:r w:rsidR="00470CA5">
        <w:rPr>
          <w:rFonts w:ascii="Arial" w:eastAsia="Times New Roman" w:hAnsi="Arial" w:cs="Times New Roman"/>
          <w:sz w:val="26"/>
          <w:szCs w:val="26"/>
        </w:rPr>
        <w:t xml:space="preserve">to </w:t>
      </w:r>
      <w:r w:rsidR="00513A77" w:rsidRPr="005B3304">
        <w:rPr>
          <w:rFonts w:ascii="Arial" w:eastAsia="Times New Roman" w:hAnsi="Arial" w:cs="Times New Roman"/>
          <w:sz w:val="26"/>
          <w:szCs w:val="26"/>
        </w:rPr>
        <w:t>master-meter</w:t>
      </w:r>
      <w:r w:rsidR="00C63F6B">
        <w:rPr>
          <w:rFonts w:ascii="Arial" w:eastAsia="Times New Roman" w:hAnsi="Arial" w:cs="Times New Roman"/>
          <w:sz w:val="26"/>
          <w:szCs w:val="26"/>
        </w:rPr>
        <w:t>ed</w:t>
      </w:r>
      <w:r w:rsidR="006E1E1A" w:rsidRPr="005B3304">
        <w:rPr>
          <w:rFonts w:ascii="Arial" w:eastAsia="Times New Roman" w:hAnsi="Arial" w:cs="Times New Roman"/>
          <w:sz w:val="26"/>
          <w:szCs w:val="26"/>
        </w:rPr>
        <w:t xml:space="preserve"> </w:t>
      </w:r>
      <w:r w:rsidRPr="005B3304">
        <w:rPr>
          <w:rFonts w:ascii="Arial" w:eastAsia="Times New Roman" w:hAnsi="Arial" w:cs="Times New Roman"/>
          <w:sz w:val="26"/>
          <w:szCs w:val="26"/>
        </w:rPr>
        <w:t xml:space="preserve">customers of PG&amp;E and </w:t>
      </w:r>
      <w:r w:rsidR="00513A77" w:rsidRPr="005B3304">
        <w:rPr>
          <w:rFonts w:ascii="Arial" w:eastAsia="Times New Roman" w:hAnsi="Arial" w:cs="Times New Roman"/>
          <w:sz w:val="26"/>
          <w:szCs w:val="26"/>
        </w:rPr>
        <w:t xml:space="preserve">results in </w:t>
      </w:r>
      <w:r w:rsidRPr="005B3304">
        <w:rPr>
          <w:rFonts w:ascii="Arial" w:eastAsia="Times New Roman" w:hAnsi="Arial" w:cs="Times New Roman"/>
          <w:sz w:val="26"/>
          <w:szCs w:val="26"/>
        </w:rPr>
        <w:t>unlawful prejudice.  PG&amp;E is impermissibly enriched to the financial and commercial detriment of the owners in direct proportion to the amount that PG&amp;E does not have to compensate the</w:t>
      </w:r>
      <w:r w:rsidR="006E1E1A" w:rsidRPr="005B3304">
        <w:rPr>
          <w:rFonts w:ascii="Arial" w:eastAsia="Times New Roman" w:hAnsi="Arial" w:cs="Times New Roman"/>
          <w:sz w:val="26"/>
          <w:szCs w:val="26"/>
        </w:rPr>
        <w:t xml:space="preserve">m for the costs PG&amp;E </w:t>
      </w:r>
      <w:r w:rsidR="00513A77" w:rsidRPr="005B3304">
        <w:rPr>
          <w:rFonts w:ascii="Arial" w:eastAsia="Times New Roman" w:hAnsi="Arial" w:cs="Times New Roman"/>
          <w:sz w:val="26"/>
          <w:szCs w:val="26"/>
        </w:rPr>
        <w:t xml:space="preserve">would </w:t>
      </w:r>
      <w:r w:rsidR="00470CA5">
        <w:rPr>
          <w:rFonts w:ascii="Arial" w:eastAsia="Times New Roman" w:hAnsi="Arial" w:cs="Times New Roman"/>
          <w:sz w:val="26"/>
          <w:szCs w:val="26"/>
        </w:rPr>
        <w:t xml:space="preserve">have </w:t>
      </w:r>
      <w:r w:rsidR="00513A77" w:rsidRPr="005B3304">
        <w:rPr>
          <w:rFonts w:ascii="Arial" w:eastAsia="Times New Roman" w:hAnsi="Arial" w:cs="Times New Roman"/>
          <w:sz w:val="26"/>
          <w:szCs w:val="26"/>
        </w:rPr>
        <w:t>other</w:t>
      </w:r>
      <w:r w:rsidR="00470CA5">
        <w:rPr>
          <w:rFonts w:ascii="Arial" w:eastAsia="Times New Roman" w:hAnsi="Arial" w:cs="Times New Roman"/>
          <w:sz w:val="26"/>
          <w:szCs w:val="26"/>
        </w:rPr>
        <w:t>wise</w:t>
      </w:r>
      <w:r w:rsidR="00513A77" w:rsidRPr="005B3304">
        <w:rPr>
          <w:rFonts w:ascii="Arial" w:eastAsia="Times New Roman" w:hAnsi="Arial" w:cs="Times New Roman"/>
          <w:sz w:val="26"/>
          <w:szCs w:val="26"/>
        </w:rPr>
        <w:t xml:space="preserve"> incur</w:t>
      </w:r>
      <w:r w:rsidR="00470CA5">
        <w:rPr>
          <w:rFonts w:ascii="Arial" w:eastAsia="Times New Roman" w:hAnsi="Arial" w:cs="Times New Roman"/>
          <w:sz w:val="26"/>
          <w:szCs w:val="26"/>
        </w:rPr>
        <w:t>red</w:t>
      </w:r>
      <w:r w:rsidR="00513A77" w:rsidRPr="005B3304">
        <w:rPr>
          <w:rFonts w:ascii="Arial" w:eastAsia="Times New Roman" w:hAnsi="Arial" w:cs="Times New Roman"/>
          <w:sz w:val="26"/>
          <w:szCs w:val="26"/>
        </w:rPr>
        <w:t xml:space="preserve"> </w:t>
      </w:r>
      <w:r w:rsidRPr="005B3304">
        <w:rPr>
          <w:rFonts w:ascii="Arial" w:eastAsia="Times New Roman" w:hAnsi="Arial" w:cs="Times New Roman"/>
          <w:sz w:val="26"/>
          <w:szCs w:val="26"/>
        </w:rPr>
        <w:t>when the owner provides utility service in PG&amp;E’s place.  In essence, the Commission has authorized PG&amp;E to be compensated for a service it does not provide.</w:t>
      </w:r>
    </w:p>
    <w:p w:rsidR="004F1805" w:rsidRPr="005B3304" w:rsidRDefault="00420C53" w:rsidP="00E12B47">
      <w:pPr>
        <w:spacing w:after="0" w:line="480" w:lineRule="auto"/>
        <w:ind w:left="720" w:firstLine="720"/>
        <w:rPr>
          <w:rFonts w:ascii="Arial" w:eastAsia="Times New Roman" w:hAnsi="Arial" w:cs="Times New Roman"/>
          <w:sz w:val="26"/>
          <w:szCs w:val="26"/>
        </w:rPr>
      </w:pPr>
      <w:r w:rsidRPr="005B3304">
        <w:rPr>
          <w:rFonts w:ascii="Arial" w:eastAsia="Times New Roman" w:hAnsi="Arial" w:cs="Times New Roman"/>
          <w:sz w:val="26"/>
          <w:szCs w:val="26"/>
        </w:rPr>
        <w:t>Accordingly, WMA requests that the Court annul D</w:t>
      </w:r>
      <w:r w:rsidR="006E1E1A" w:rsidRPr="005B3304">
        <w:rPr>
          <w:rFonts w:ascii="Arial" w:eastAsia="Times New Roman" w:hAnsi="Arial" w:cs="Times New Roman"/>
          <w:sz w:val="26"/>
          <w:szCs w:val="26"/>
        </w:rPr>
        <w:t xml:space="preserve">ecision </w:t>
      </w:r>
      <w:r w:rsidRPr="005B3304">
        <w:rPr>
          <w:rFonts w:ascii="Arial" w:eastAsia="Times New Roman" w:hAnsi="Arial" w:cs="Times New Roman"/>
          <w:sz w:val="26"/>
          <w:szCs w:val="26"/>
        </w:rPr>
        <w:t>11-12-053 and D</w:t>
      </w:r>
      <w:r w:rsidR="006E1E1A" w:rsidRPr="005B3304">
        <w:rPr>
          <w:rFonts w:ascii="Arial" w:eastAsia="Times New Roman" w:hAnsi="Arial" w:cs="Times New Roman"/>
          <w:sz w:val="26"/>
          <w:szCs w:val="26"/>
        </w:rPr>
        <w:t xml:space="preserve">ecision </w:t>
      </w:r>
      <w:r w:rsidRPr="005B3304">
        <w:rPr>
          <w:rFonts w:ascii="Arial" w:eastAsia="Times New Roman" w:hAnsi="Arial" w:cs="Times New Roman"/>
          <w:sz w:val="26"/>
          <w:szCs w:val="26"/>
        </w:rPr>
        <w:t xml:space="preserve">12-08-046 </w:t>
      </w:r>
      <w:r w:rsidR="00470CA5">
        <w:rPr>
          <w:rFonts w:ascii="Arial" w:eastAsia="Times New Roman" w:hAnsi="Arial" w:cs="Times New Roman"/>
          <w:sz w:val="26"/>
          <w:szCs w:val="26"/>
        </w:rPr>
        <w:t>D</w:t>
      </w:r>
      <w:r w:rsidRPr="005B3304">
        <w:rPr>
          <w:rFonts w:ascii="Arial" w:eastAsia="Times New Roman" w:hAnsi="Arial" w:cs="Times New Roman"/>
          <w:sz w:val="26"/>
          <w:szCs w:val="26"/>
        </w:rPr>
        <w:t xml:space="preserve">enying </w:t>
      </w:r>
      <w:r w:rsidR="00470CA5">
        <w:rPr>
          <w:rFonts w:ascii="Arial" w:eastAsia="Times New Roman" w:hAnsi="Arial" w:cs="Times New Roman"/>
          <w:sz w:val="26"/>
          <w:szCs w:val="26"/>
        </w:rPr>
        <w:t>R</w:t>
      </w:r>
      <w:r w:rsidRPr="005B3304">
        <w:rPr>
          <w:rFonts w:ascii="Arial" w:eastAsia="Times New Roman" w:hAnsi="Arial" w:cs="Times New Roman"/>
          <w:sz w:val="26"/>
          <w:szCs w:val="26"/>
        </w:rPr>
        <w:t>ehearing and remand this case back to the C</w:t>
      </w:r>
      <w:r w:rsidR="006E1E1A" w:rsidRPr="005B3304">
        <w:rPr>
          <w:rFonts w:ascii="Arial" w:eastAsia="Times New Roman" w:hAnsi="Arial" w:cs="Times New Roman"/>
          <w:sz w:val="26"/>
          <w:szCs w:val="26"/>
        </w:rPr>
        <w:t xml:space="preserve">ommission </w:t>
      </w:r>
      <w:r w:rsidRPr="005B3304">
        <w:rPr>
          <w:rFonts w:ascii="Arial" w:eastAsia="Times New Roman" w:hAnsi="Arial" w:cs="Times New Roman"/>
          <w:sz w:val="26"/>
          <w:szCs w:val="26"/>
        </w:rPr>
        <w:t xml:space="preserve">with the order that the differential be set using the same </w:t>
      </w:r>
      <w:r w:rsidR="00470CA5">
        <w:rPr>
          <w:rFonts w:ascii="Arial" w:eastAsia="Times New Roman" w:hAnsi="Arial" w:cs="Times New Roman"/>
          <w:sz w:val="26"/>
          <w:szCs w:val="26"/>
        </w:rPr>
        <w:t xml:space="preserve">residential </w:t>
      </w:r>
      <w:r w:rsidRPr="005B3304">
        <w:rPr>
          <w:rFonts w:ascii="Arial" w:eastAsia="Times New Roman" w:hAnsi="Arial" w:cs="Times New Roman"/>
          <w:sz w:val="26"/>
          <w:szCs w:val="26"/>
        </w:rPr>
        <w:t xml:space="preserve">rate PG&amp;E charges to directly-served </w:t>
      </w:r>
      <w:r w:rsidR="00F033F1" w:rsidRPr="005B3304">
        <w:rPr>
          <w:rFonts w:ascii="Arial" w:eastAsia="Times New Roman" w:hAnsi="Arial" w:cs="Times New Roman"/>
          <w:sz w:val="26"/>
          <w:szCs w:val="26"/>
        </w:rPr>
        <w:t>MHP</w:t>
      </w:r>
      <w:r w:rsidRPr="005B3304">
        <w:rPr>
          <w:rFonts w:ascii="Arial" w:eastAsia="Times New Roman" w:hAnsi="Arial" w:cs="Times New Roman"/>
          <w:sz w:val="26"/>
          <w:szCs w:val="26"/>
        </w:rPr>
        <w:t xml:space="preserve"> </w:t>
      </w:r>
      <w:r w:rsidR="00F033F1" w:rsidRPr="005B3304">
        <w:rPr>
          <w:rFonts w:ascii="Arial" w:eastAsia="Times New Roman" w:hAnsi="Arial" w:cs="Times New Roman"/>
          <w:sz w:val="26"/>
          <w:szCs w:val="26"/>
        </w:rPr>
        <w:t>residents</w:t>
      </w:r>
      <w:r w:rsidRPr="005B3304">
        <w:rPr>
          <w:rFonts w:ascii="Arial" w:eastAsia="Times New Roman" w:hAnsi="Arial" w:cs="Times New Roman"/>
          <w:sz w:val="26"/>
          <w:szCs w:val="26"/>
        </w:rPr>
        <w:t xml:space="preserve"> within its service territory.</w:t>
      </w:r>
      <w:r w:rsidR="007B2B94" w:rsidRPr="005B3304">
        <w:rPr>
          <w:rFonts w:ascii="Arial" w:eastAsia="Times New Roman" w:hAnsi="Arial" w:cs="Times New Roman"/>
          <w:sz w:val="26"/>
          <w:szCs w:val="26"/>
        </w:rPr>
        <w:t xml:space="preserve">  This residential rate is the rate PG&amp;E bills the </w:t>
      </w:r>
      <w:r w:rsidR="00513A77" w:rsidRPr="005B3304">
        <w:rPr>
          <w:rFonts w:ascii="Arial" w:eastAsia="Times New Roman" w:hAnsi="Arial" w:cs="Times New Roman"/>
          <w:sz w:val="26"/>
          <w:szCs w:val="26"/>
        </w:rPr>
        <w:t>master-meter</w:t>
      </w:r>
      <w:r w:rsidR="007B2B94" w:rsidRPr="005B3304">
        <w:rPr>
          <w:rFonts w:ascii="Arial" w:eastAsia="Times New Roman" w:hAnsi="Arial" w:cs="Times New Roman"/>
          <w:sz w:val="26"/>
          <w:szCs w:val="26"/>
        </w:rPr>
        <w:t xml:space="preserve">ed MHP and is the same rate the </w:t>
      </w:r>
      <w:r w:rsidR="00513A77" w:rsidRPr="005B3304">
        <w:rPr>
          <w:rFonts w:ascii="Arial" w:eastAsia="Times New Roman" w:hAnsi="Arial" w:cs="Times New Roman"/>
          <w:sz w:val="26"/>
          <w:szCs w:val="26"/>
        </w:rPr>
        <w:t>master-meter</w:t>
      </w:r>
      <w:r w:rsidR="007B2B94" w:rsidRPr="005B3304">
        <w:rPr>
          <w:rFonts w:ascii="Arial" w:eastAsia="Times New Roman" w:hAnsi="Arial" w:cs="Times New Roman"/>
          <w:sz w:val="26"/>
          <w:szCs w:val="26"/>
        </w:rPr>
        <w:t>ed MHP pays to PG&amp;E.</w:t>
      </w:r>
    </w:p>
    <w:p w:rsidR="00CA2A5C" w:rsidRPr="005B3304" w:rsidRDefault="00CA2A5C" w:rsidP="00E12B47">
      <w:pPr>
        <w:ind w:left="720"/>
        <w:rPr>
          <w:rFonts w:ascii="Arial" w:hAnsi="Arial"/>
          <w:b/>
          <w:sz w:val="26"/>
          <w:szCs w:val="26"/>
        </w:rPr>
      </w:pPr>
    </w:p>
    <w:p w:rsidR="004F1805" w:rsidRPr="005B3304" w:rsidRDefault="006E1E1A" w:rsidP="00E12B47">
      <w:pPr>
        <w:ind w:left="720"/>
        <w:jc w:val="center"/>
        <w:rPr>
          <w:rFonts w:ascii="Arial" w:hAnsi="Arial"/>
          <w:b/>
          <w:sz w:val="26"/>
          <w:szCs w:val="26"/>
        </w:rPr>
      </w:pPr>
      <w:r w:rsidRPr="005B3304">
        <w:rPr>
          <w:rFonts w:ascii="Arial" w:hAnsi="Arial"/>
          <w:b/>
          <w:sz w:val="26"/>
          <w:szCs w:val="26"/>
        </w:rPr>
        <w:t xml:space="preserve">PETITION FOR WRIT OF </w:t>
      </w:r>
      <w:r w:rsidR="007B2B94" w:rsidRPr="005B3304">
        <w:rPr>
          <w:rFonts w:ascii="Arial" w:hAnsi="Arial"/>
          <w:b/>
          <w:sz w:val="26"/>
          <w:szCs w:val="26"/>
        </w:rPr>
        <w:t>REVIEW</w:t>
      </w:r>
    </w:p>
    <w:p w:rsidR="006E1E1A" w:rsidRPr="005B3304" w:rsidRDefault="006E1E1A" w:rsidP="00E12B47">
      <w:pPr>
        <w:spacing w:before="6" w:after="0" w:line="480" w:lineRule="auto"/>
        <w:ind w:left="720"/>
        <w:rPr>
          <w:rFonts w:ascii="Arial" w:hAnsi="Arial"/>
          <w:sz w:val="26"/>
          <w:szCs w:val="26"/>
        </w:rPr>
      </w:pPr>
      <w:r w:rsidRPr="005B3304">
        <w:rPr>
          <w:rFonts w:ascii="Arial" w:hAnsi="Arial"/>
          <w:sz w:val="26"/>
          <w:szCs w:val="26"/>
        </w:rPr>
        <w:tab/>
        <w:t xml:space="preserve">WMA hereby petitions </w:t>
      </w:r>
      <w:r w:rsidR="007B2B94" w:rsidRPr="005B3304">
        <w:rPr>
          <w:rFonts w:ascii="Arial" w:hAnsi="Arial"/>
          <w:sz w:val="26"/>
          <w:szCs w:val="26"/>
        </w:rPr>
        <w:t>this Court for a Writ of Review</w:t>
      </w:r>
      <w:r w:rsidRPr="005B3304">
        <w:rPr>
          <w:rFonts w:ascii="Arial" w:hAnsi="Arial"/>
          <w:sz w:val="26"/>
          <w:szCs w:val="26"/>
        </w:rPr>
        <w:t xml:space="preserve"> directed to respondent California Public Utilities Commission</w:t>
      </w:r>
      <w:r w:rsidR="005B3304" w:rsidRPr="005B3304">
        <w:rPr>
          <w:rFonts w:ascii="Arial" w:hAnsi="Arial"/>
          <w:sz w:val="26"/>
          <w:szCs w:val="26"/>
        </w:rPr>
        <w:t>, and by this verified petition</w:t>
      </w:r>
      <w:r w:rsidRPr="005B3304">
        <w:rPr>
          <w:rFonts w:ascii="Arial" w:hAnsi="Arial"/>
          <w:sz w:val="26"/>
          <w:szCs w:val="26"/>
        </w:rPr>
        <w:t>er alleges:</w:t>
      </w:r>
    </w:p>
    <w:p w:rsidR="006E1E1A" w:rsidRPr="005B3304" w:rsidRDefault="006E1E1A" w:rsidP="00E12B47">
      <w:pPr>
        <w:spacing w:before="6" w:after="0" w:line="480" w:lineRule="auto"/>
        <w:ind w:left="720"/>
        <w:rPr>
          <w:rFonts w:ascii="Arial" w:hAnsi="Arial"/>
          <w:sz w:val="26"/>
          <w:szCs w:val="26"/>
        </w:rPr>
      </w:pPr>
      <w:r w:rsidRPr="005B3304">
        <w:rPr>
          <w:rFonts w:ascii="Arial" w:hAnsi="Arial"/>
          <w:sz w:val="26"/>
          <w:szCs w:val="26"/>
        </w:rPr>
        <w:tab/>
        <w:t>1.</w:t>
      </w:r>
      <w:r w:rsidRPr="005B3304">
        <w:rPr>
          <w:rFonts w:ascii="Arial" w:hAnsi="Arial"/>
          <w:sz w:val="26"/>
          <w:szCs w:val="26"/>
        </w:rPr>
        <w:tab/>
      </w:r>
      <w:r w:rsidR="002B2683" w:rsidRPr="005B3304">
        <w:rPr>
          <w:rFonts w:ascii="Arial" w:hAnsi="Arial"/>
          <w:sz w:val="26"/>
          <w:szCs w:val="26"/>
        </w:rPr>
        <w:t>Respondent is a constitutional agency of the State of California, the California Public Utilities Commission</w:t>
      </w:r>
      <w:r w:rsidRPr="005B3304">
        <w:rPr>
          <w:rFonts w:ascii="Arial" w:hAnsi="Arial"/>
          <w:sz w:val="26"/>
          <w:szCs w:val="26"/>
        </w:rPr>
        <w:t>.</w:t>
      </w:r>
    </w:p>
    <w:p w:rsidR="00962F5D" w:rsidRPr="005B3304" w:rsidRDefault="006E1E1A" w:rsidP="00E12B47">
      <w:pPr>
        <w:spacing w:before="6" w:after="0" w:line="480" w:lineRule="auto"/>
        <w:ind w:left="720"/>
        <w:rPr>
          <w:rFonts w:ascii="Arial" w:hAnsi="Arial"/>
          <w:sz w:val="26"/>
          <w:szCs w:val="26"/>
        </w:rPr>
      </w:pPr>
      <w:r w:rsidRPr="005B3304">
        <w:rPr>
          <w:rFonts w:ascii="Arial" w:hAnsi="Arial"/>
          <w:sz w:val="26"/>
          <w:szCs w:val="26"/>
        </w:rPr>
        <w:tab/>
        <w:t>2.</w:t>
      </w:r>
      <w:r w:rsidRPr="005B3304">
        <w:rPr>
          <w:rFonts w:ascii="Arial" w:hAnsi="Arial"/>
          <w:sz w:val="26"/>
          <w:szCs w:val="26"/>
        </w:rPr>
        <w:tab/>
      </w:r>
      <w:r w:rsidR="002B2683" w:rsidRPr="005B3304">
        <w:rPr>
          <w:rFonts w:ascii="Arial" w:hAnsi="Arial"/>
          <w:sz w:val="26"/>
          <w:szCs w:val="26"/>
        </w:rPr>
        <w:t xml:space="preserve">Petitioner, </w:t>
      </w:r>
      <w:r w:rsidR="00962F5D" w:rsidRPr="005B3304">
        <w:rPr>
          <w:rFonts w:ascii="Arial" w:hAnsi="Arial"/>
          <w:sz w:val="26"/>
          <w:szCs w:val="26"/>
        </w:rPr>
        <w:t xml:space="preserve">Western Manufactured Housing Communities Association is a nonprofit organization created in 1945 for the exclusive purpose of promoting and protecting the interests of owners, operators and developers of manufactured home communities in California.  WMA assists its members in the operations of successful manufactured home communities in today's complex business and regulatory environment.  WMA is a statewide trade association whose members are largely </w:t>
      </w:r>
      <w:r w:rsidR="00F033F1" w:rsidRPr="005B3304">
        <w:rPr>
          <w:rFonts w:ascii="Arial" w:hAnsi="Arial"/>
          <w:sz w:val="26"/>
          <w:szCs w:val="26"/>
        </w:rPr>
        <w:t>MHP</w:t>
      </w:r>
      <w:r w:rsidR="00470CA5">
        <w:rPr>
          <w:rFonts w:ascii="Arial" w:hAnsi="Arial"/>
          <w:sz w:val="26"/>
          <w:szCs w:val="26"/>
        </w:rPr>
        <w:t xml:space="preserve"> owners who</w:t>
      </w:r>
      <w:r w:rsidR="00962F5D" w:rsidRPr="005B3304">
        <w:rPr>
          <w:rFonts w:ascii="Arial" w:hAnsi="Arial"/>
          <w:sz w:val="26"/>
          <w:szCs w:val="26"/>
        </w:rPr>
        <w:t xml:space="preserve"> own, operate and control over 175,000 mobilehome spaces in California.  WMA has over 1700 member parks located in all 58 counties of California.</w:t>
      </w:r>
    </w:p>
    <w:p w:rsidR="00D239D5" w:rsidRPr="005B3304" w:rsidRDefault="00D239D5" w:rsidP="00E12B47">
      <w:pPr>
        <w:spacing w:before="6" w:after="0" w:line="480" w:lineRule="auto"/>
        <w:ind w:left="720"/>
        <w:rPr>
          <w:rFonts w:ascii="Arial" w:hAnsi="Arial"/>
          <w:sz w:val="26"/>
          <w:szCs w:val="26"/>
        </w:rPr>
      </w:pPr>
      <w:r w:rsidRPr="005B3304">
        <w:rPr>
          <w:rFonts w:ascii="Arial" w:hAnsi="Arial"/>
          <w:sz w:val="26"/>
          <w:szCs w:val="26"/>
        </w:rPr>
        <w:tab/>
        <w:t>3.</w:t>
      </w:r>
      <w:r w:rsidRPr="005B3304">
        <w:rPr>
          <w:rFonts w:ascii="Arial" w:hAnsi="Arial"/>
          <w:sz w:val="26"/>
          <w:szCs w:val="26"/>
        </w:rPr>
        <w:tab/>
      </w:r>
      <w:r w:rsidR="007B2B94" w:rsidRPr="005B3304">
        <w:rPr>
          <w:rFonts w:ascii="Arial" w:hAnsi="Arial"/>
          <w:sz w:val="26"/>
          <w:szCs w:val="26"/>
        </w:rPr>
        <w:t xml:space="preserve">Other than Real Parties in Interest PG&amp;E and The Utility Reform Network (hereinafter “TURN”) who took positions adverse to Petitioner, any other </w:t>
      </w:r>
      <w:r w:rsidRPr="005B3304">
        <w:rPr>
          <w:rFonts w:ascii="Arial" w:hAnsi="Arial"/>
          <w:sz w:val="26"/>
          <w:szCs w:val="26"/>
        </w:rPr>
        <w:t xml:space="preserve">“real parties in interest,” would be parties to the CPUC docket </w:t>
      </w:r>
      <w:r w:rsidR="007B2B94" w:rsidRPr="005B3304">
        <w:rPr>
          <w:rFonts w:ascii="Arial" w:hAnsi="Arial"/>
          <w:sz w:val="26"/>
          <w:szCs w:val="26"/>
        </w:rPr>
        <w:t>in which D. 12-08-46 was issued.</w:t>
      </w:r>
    </w:p>
    <w:p w:rsidR="005B3304" w:rsidRPr="005B3304" w:rsidRDefault="005B3304" w:rsidP="00E12B47">
      <w:pPr>
        <w:spacing w:before="6" w:after="0" w:line="480" w:lineRule="auto"/>
        <w:ind w:left="720"/>
        <w:rPr>
          <w:rFonts w:ascii="Arial" w:hAnsi="Arial"/>
          <w:sz w:val="26"/>
          <w:szCs w:val="26"/>
        </w:rPr>
      </w:pPr>
      <w:r w:rsidRPr="005B3304">
        <w:rPr>
          <w:rFonts w:ascii="Arial" w:hAnsi="Arial"/>
          <w:sz w:val="26"/>
          <w:szCs w:val="26"/>
        </w:rPr>
        <w:tab/>
        <w:t>4.</w:t>
      </w:r>
      <w:r w:rsidRPr="005B3304">
        <w:rPr>
          <w:rFonts w:ascii="Arial" w:hAnsi="Arial"/>
          <w:sz w:val="26"/>
          <w:szCs w:val="26"/>
        </w:rPr>
        <w:tab/>
        <w:t>All exhibits to this petition are true and correct copies of the original documents filed and/or admitted into evidence with the Commission.  Petitioner filly incorporates Exhibit volumes I through VIII as if they were fully set forth in this pe</w:t>
      </w:r>
      <w:r w:rsidR="00470CA5">
        <w:rPr>
          <w:rFonts w:ascii="Arial" w:hAnsi="Arial"/>
          <w:sz w:val="26"/>
          <w:szCs w:val="26"/>
        </w:rPr>
        <w:t>tition</w:t>
      </w:r>
      <w:r w:rsidRPr="005B3304">
        <w:rPr>
          <w:rFonts w:ascii="Arial" w:hAnsi="Arial"/>
          <w:sz w:val="26"/>
          <w:szCs w:val="26"/>
        </w:rPr>
        <w:t>.</w:t>
      </w:r>
    </w:p>
    <w:p w:rsidR="006E45C8" w:rsidRPr="005B3304" w:rsidRDefault="00962F5D" w:rsidP="00E12B47">
      <w:pPr>
        <w:spacing w:before="6" w:after="0" w:line="480" w:lineRule="auto"/>
        <w:ind w:left="720"/>
        <w:rPr>
          <w:rFonts w:ascii="Arial" w:hAnsi="Arial"/>
          <w:sz w:val="26"/>
          <w:szCs w:val="26"/>
        </w:rPr>
      </w:pPr>
      <w:r w:rsidRPr="005B3304">
        <w:rPr>
          <w:rFonts w:ascii="Arial" w:hAnsi="Arial"/>
          <w:sz w:val="26"/>
          <w:szCs w:val="26"/>
        </w:rPr>
        <w:tab/>
      </w:r>
      <w:r w:rsidR="005B3304" w:rsidRPr="005B3304">
        <w:rPr>
          <w:rFonts w:ascii="Arial" w:hAnsi="Arial"/>
          <w:sz w:val="26"/>
          <w:szCs w:val="26"/>
        </w:rPr>
        <w:t>5</w:t>
      </w:r>
      <w:r w:rsidRPr="005B3304">
        <w:rPr>
          <w:rFonts w:ascii="Arial" w:hAnsi="Arial"/>
          <w:sz w:val="26"/>
          <w:szCs w:val="26"/>
        </w:rPr>
        <w:t>.</w:t>
      </w:r>
      <w:r w:rsidRPr="005B3304">
        <w:rPr>
          <w:rFonts w:ascii="Arial" w:hAnsi="Arial"/>
          <w:sz w:val="26"/>
          <w:szCs w:val="26"/>
        </w:rPr>
        <w:tab/>
        <w:t xml:space="preserve">This petition concerns whether the Commission </w:t>
      </w:r>
      <w:r w:rsidR="006E45C8" w:rsidRPr="005B3304">
        <w:rPr>
          <w:rFonts w:ascii="Arial" w:hAnsi="Arial"/>
          <w:sz w:val="26"/>
          <w:szCs w:val="26"/>
        </w:rPr>
        <w:t>set rates that were discriminatory and in contravention of Public Utilities Code Sections 453 and 739.5.</w:t>
      </w:r>
    </w:p>
    <w:p w:rsidR="006E45C8" w:rsidRPr="005B3304" w:rsidRDefault="006E45C8" w:rsidP="00E12B47">
      <w:pPr>
        <w:spacing w:before="6" w:after="0" w:line="480" w:lineRule="auto"/>
        <w:ind w:left="720"/>
        <w:rPr>
          <w:rFonts w:ascii="Arial" w:hAnsi="Arial"/>
          <w:sz w:val="26"/>
          <w:szCs w:val="26"/>
        </w:rPr>
      </w:pPr>
      <w:r w:rsidRPr="005B3304">
        <w:rPr>
          <w:rFonts w:ascii="Arial" w:hAnsi="Arial"/>
          <w:sz w:val="26"/>
          <w:szCs w:val="26"/>
        </w:rPr>
        <w:tab/>
      </w:r>
      <w:r w:rsidR="005B3304" w:rsidRPr="005B3304">
        <w:rPr>
          <w:rFonts w:ascii="Arial" w:hAnsi="Arial"/>
          <w:sz w:val="26"/>
          <w:szCs w:val="26"/>
        </w:rPr>
        <w:t>6</w:t>
      </w:r>
      <w:r w:rsidRPr="005B3304">
        <w:rPr>
          <w:rFonts w:ascii="Arial" w:hAnsi="Arial"/>
          <w:sz w:val="26"/>
          <w:szCs w:val="26"/>
        </w:rPr>
        <w:t>.</w:t>
      </w:r>
      <w:r w:rsidRPr="005B3304">
        <w:rPr>
          <w:rFonts w:ascii="Arial" w:hAnsi="Arial"/>
          <w:sz w:val="26"/>
          <w:szCs w:val="26"/>
        </w:rPr>
        <w:tab/>
        <w:t>Following the testimony by WMA, PG&amp;E</w:t>
      </w:r>
      <w:r w:rsidR="007B2B94" w:rsidRPr="005B3304">
        <w:rPr>
          <w:rFonts w:ascii="Arial" w:hAnsi="Arial"/>
          <w:sz w:val="26"/>
          <w:szCs w:val="26"/>
        </w:rPr>
        <w:t xml:space="preserve"> and TURN,</w:t>
      </w:r>
      <w:r w:rsidRPr="005B3304">
        <w:rPr>
          <w:rFonts w:ascii="Arial" w:hAnsi="Arial"/>
          <w:sz w:val="26"/>
          <w:szCs w:val="26"/>
        </w:rPr>
        <w:t xml:space="preserve"> hearings were held on contested issues from August </w:t>
      </w:r>
      <w:r w:rsidR="00E4410F" w:rsidRPr="005B3304">
        <w:rPr>
          <w:rFonts w:ascii="Arial" w:hAnsi="Arial"/>
          <w:sz w:val="26"/>
          <w:szCs w:val="26"/>
        </w:rPr>
        <w:t>17</w:t>
      </w:r>
      <w:r w:rsidRPr="005B3304">
        <w:rPr>
          <w:rFonts w:ascii="Arial" w:hAnsi="Arial"/>
          <w:sz w:val="26"/>
          <w:szCs w:val="26"/>
        </w:rPr>
        <w:t xml:space="preserve"> to</w:t>
      </w:r>
      <w:r w:rsidR="00E4410F" w:rsidRPr="005B3304">
        <w:rPr>
          <w:rFonts w:ascii="Arial" w:hAnsi="Arial"/>
          <w:sz w:val="26"/>
          <w:szCs w:val="26"/>
        </w:rPr>
        <w:t xml:space="preserve"> 18, 2011</w:t>
      </w:r>
      <w:r w:rsidR="007B2B94" w:rsidRPr="005B3304">
        <w:rPr>
          <w:rFonts w:ascii="Arial" w:hAnsi="Arial"/>
          <w:sz w:val="26"/>
          <w:szCs w:val="26"/>
        </w:rPr>
        <w:t>, before Administrative Law Judge Thomas R. Pulsifer.</w:t>
      </w:r>
    </w:p>
    <w:p w:rsidR="002D1DC9" w:rsidRPr="005B3304" w:rsidRDefault="006E45C8" w:rsidP="00E12B47">
      <w:pPr>
        <w:spacing w:before="6" w:after="0" w:line="480" w:lineRule="auto"/>
        <w:ind w:left="720"/>
        <w:rPr>
          <w:rFonts w:ascii="Arial" w:hAnsi="Arial"/>
          <w:sz w:val="26"/>
          <w:szCs w:val="26"/>
        </w:rPr>
      </w:pPr>
      <w:r w:rsidRPr="005B3304">
        <w:rPr>
          <w:rFonts w:ascii="Arial" w:hAnsi="Arial"/>
          <w:sz w:val="26"/>
          <w:szCs w:val="26"/>
        </w:rPr>
        <w:tab/>
      </w:r>
      <w:r w:rsidR="005B3304" w:rsidRPr="005B3304">
        <w:rPr>
          <w:rFonts w:ascii="Arial" w:hAnsi="Arial"/>
          <w:sz w:val="26"/>
          <w:szCs w:val="26"/>
        </w:rPr>
        <w:t>7</w:t>
      </w:r>
      <w:r w:rsidRPr="005B3304">
        <w:rPr>
          <w:rFonts w:ascii="Arial" w:hAnsi="Arial"/>
          <w:sz w:val="26"/>
          <w:szCs w:val="26"/>
        </w:rPr>
        <w:t>.</w:t>
      </w:r>
      <w:r w:rsidRPr="005B3304">
        <w:rPr>
          <w:rFonts w:ascii="Arial" w:hAnsi="Arial"/>
          <w:sz w:val="26"/>
          <w:szCs w:val="26"/>
        </w:rPr>
        <w:tab/>
      </w:r>
      <w:r w:rsidR="00E4410F" w:rsidRPr="005B3304">
        <w:rPr>
          <w:rFonts w:ascii="Arial" w:hAnsi="Arial"/>
          <w:sz w:val="26"/>
          <w:szCs w:val="26"/>
        </w:rPr>
        <w:t xml:space="preserve">Opening </w:t>
      </w:r>
      <w:r w:rsidRPr="005B3304">
        <w:rPr>
          <w:rFonts w:ascii="Arial" w:hAnsi="Arial"/>
          <w:sz w:val="26"/>
          <w:szCs w:val="26"/>
        </w:rPr>
        <w:t>Briefs were filed by WMA</w:t>
      </w:r>
      <w:r w:rsidR="007B2B94" w:rsidRPr="005B3304">
        <w:rPr>
          <w:rFonts w:ascii="Arial" w:hAnsi="Arial"/>
          <w:sz w:val="26"/>
          <w:szCs w:val="26"/>
        </w:rPr>
        <w:t>, PG&amp;E and TURN</w:t>
      </w:r>
      <w:r w:rsidRPr="005B3304">
        <w:rPr>
          <w:rFonts w:ascii="Arial" w:hAnsi="Arial"/>
          <w:sz w:val="26"/>
          <w:szCs w:val="26"/>
        </w:rPr>
        <w:t xml:space="preserve"> on </w:t>
      </w:r>
      <w:r w:rsidR="00E4410F" w:rsidRPr="005B3304">
        <w:rPr>
          <w:rFonts w:ascii="Arial" w:hAnsi="Arial"/>
          <w:sz w:val="26"/>
          <w:szCs w:val="26"/>
        </w:rPr>
        <w:t>September 23, 2011</w:t>
      </w:r>
      <w:r w:rsidRPr="005B3304">
        <w:rPr>
          <w:rFonts w:ascii="Arial" w:hAnsi="Arial"/>
          <w:sz w:val="26"/>
          <w:szCs w:val="26"/>
        </w:rPr>
        <w:t xml:space="preserve"> and reply briefs </w:t>
      </w:r>
      <w:r w:rsidR="002D1DC9" w:rsidRPr="005B3304">
        <w:rPr>
          <w:rFonts w:ascii="Arial" w:hAnsi="Arial"/>
          <w:sz w:val="26"/>
          <w:szCs w:val="26"/>
        </w:rPr>
        <w:t>were filed on</w:t>
      </w:r>
      <w:r w:rsidR="00E4410F" w:rsidRPr="005B3304">
        <w:rPr>
          <w:rFonts w:ascii="Arial" w:hAnsi="Arial"/>
          <w:sz w:val="26"/>
          <w:szCs w:val="26"/>
        </w:rPr>
        <w:t xml:space="preserve"> October 7, 2011.</w:t>
      </w:r>
    </w:p>
    <w:p w:rsidR="002D1DC9" w:rsidRPr="005B3304" w:rsidRDefault="002D1DC9" w:rsidP="00E12B47">
      <w:pPr>
        <w:spacing w:before="6" w:after="0" w:line="480" w:lineRule="auto"/>
        <w:ind w:left="720"/>
        <w:rPr>
          <w:rFonts w:ascii="Arial" w:hAnsi="Arial"/>
          <w:sz w:val="26"/>
          <w:szCs w:val="26"/>
        </w:rPr>
      </w:pPr>
      <w:r w:rsidRPr="005B3304">
        <w:rPr>
          <w:rFonts w:ascii="Arial" w:hAnsi="Arial"/>
          <w:sz w:val="26"/>
          <w:szCs w:val="26"/>
        </w:rPr>
        <w:tab/>
      </w:r>
      <w:r w:rsidR="005B3304" w:rsidRPr="005B3304">
        <w:rPr>
          <w:rFonts w:ascii="Arial" w:hAnsi="Arial"/>
          <w:sz w:val="26"/>
          <w:szCs w:val="26"/>
        </w:rPr>
        <w:t>8</w:t>
      </w:r>
      <w:r w:rsidRPr="005B3304">
        <w:rPr>
          <w:rFonts w:ascii="Arial" w:hAnsi="Arial"/>
          <w:sz w:val="26"/>
          <w:szCs w:val="26"/>
        </w:rPr>
        <w:t xml:space="preserve">. </w:t>
      </w:r>
      <w:r w:rsidRPr="005B3304">
        <w:rPr>
          <w:rFonts w:ascii="Arial" w:hAnsi="Arial"/>
          <w:sz w:val="26"/>
          <w:szCs w:val="26"/>
        </w:rPr>
        <w:tab/>
        <w:t>The Commission issued Decision 11-12-053 on</w:t>
      </w:r>
      <w:r w:rsidR="00E4410F" w:rsidRPr="005B3304">
        <w:rPr>
          <w:rFonts w:ascii="Arial" w:hAnsi="Arial"/>
          <w:sz w:val="26"/>
          <w:szCs w:val="26"/>
        </w:rPr>
        <w:t xml:space="preserve"> December 22, 2011 that decided the rate at issue.</w:t>
      </w:r>
    </w:p>
    <w:p w:rsidR="002D1DC9" w:rsidRPr="005B3304" w:rsidRDefault="002D1DC9" w:rsidP="00E12B47">
      <w:pPr>
        <w:spacing w:before="6" w:after="0" w:line="480" w:lineRule="auto"/>
        <w:ind w:left="720"/>
        <w:rPr>
          <w:rFonts w:ascii="Arial" w:hAnsi="Arial"/>
          <w:sz w:val="26"/>
          <w:szCs w:val="26"/>
        </w:rPr>
      </w:pPr>
      <w:r w:rsidRPr="005B3304">
        <w:rPr>
          <w:rFonts w:ascii="Arial" w:hAnsi="Arial"/>
          <w:sz w:val="26"/>
          <w:szCs w:val="26"/>
        </w:rPr>
        <w:tab/>
      </w:r>
      <w:r w:rsidR="005B3304" w:rsidRPr="005B3304">
        <w:rPr>
          <w:rFonts w:ascii="Arial" w:hAnsi="Arial"/>
          <w:sz w:val="26"/>
          <w:szCs w:val="26"/>
        </w:rPr>
        <w:t>9</w:t>
      </w:r>
      <w:r w:rsidRPr="005B3304">
        <w:rPr>
          <w:rFonts w:ascii="Arial" w:hAnsi="Arial"/>
          <w:sz w:val="26"/>
          <w:szCs w:val="26"/>
        </w:rPr>
        <w:t>.</w:t>
      </w:r>
      <w:r w:rsidRPr="005B3304">
        <w:rPr>
          <w:rFonts w:ascii="Arial" w:hAnsi="Arial"/>
          <w:sz w:val="26"/>
          <w:szCs w:val="26"/>
        </w:rPr>
        <w:tab/>
        <w:t xml:space="preserve">On </w:t>
      </w:r>
      <w:r w:rsidR="00E4410F" w:rsidRPr="005B3304">
        <w:rPr>
          <w:rFonts w:ascii="Arial" w:hAnsi="Arial"/>
          <w:sz w:val="26"/>
          <w:szCs w:val="26"/>
        </w:rPr>
        <w:t>January 23, 2012</w:t>
      </w:r>
      <w:r w:rsidRPr="005B3304">
        <w:rPr>
          <w:rFonts w:ascii="Arial" w:hAnsi="Arial"/>
          <w:sz w:val="26"/>
          <w:szCs w:val="26"/>
        </w:rPr>
        <w:t xml:space="preserve">, WMA filed a timely Application for Rehearing, to which PG&amp;E </w:t>
      </w:r>
      <w:r w:rsidR="007B2B94" w:rsidRPr="005B3304">
        <w:rPr>
          <w:rFonts w:ascii="Arial" w:hAnsi="Arial"/>
          <w:sz w:val="26"/>
          <w:szCs w:val="26"/>
        </w:rPr>
        <w:t xml:space="preserve">and TURN </w:t>
      </w:r>
      <w:r w:rsidRPr="005B3304">
        <w:rPr>
          <w:rFonts w:ascii="Arial" w:hAnsi="Arial"/>
          <w:sz w:val="26"/>
          <w:szCs w:val="26"/>
        </w:rPr>
        <w:t xml:space="preserve">filed </w:t>
      </w:r>
      <w:r w:rsidR="00E4410F" w:rsidRPr="005B3304">
        <w:rPr>
          <w:rFonts w:ascii="Arial" w:hAnsi="Arial"/>
          <w:sz w:val="26"/>
          <w:szCs w:val="26"/>
        </w:rPr>
        <w:t>a Joint Response on February 7, 2012.</w:t>
      </w:r>
    </w:p>
    <w:p w:rsidR="00302043" w:rsidRPr="005B3304" w:rsidRDefault="002D1DC9" w:rsidP="00E12B47">
      <w:pPr>
        <w:spacing w:before="6" w:after="0" w:line="480" w:lineRule="auto"/>
        <w:ind w:left="720"/>
        <w:rPr>
          <w:rFonts w:ascii="Arial" w:hAnsi="Arial"/>
          <w:sz w:val="26"/>
          <w:szCs w:val="26"/>
        </w:rPr>
      </w:pPr>
      <w:r w:rsidRPr="005B3304">
        <w:rPr>
          <w:rFonts w:ascii="Arial" w:hAnsi="Arial"/>
          <w:sz w:val="26"/>
          <w:szCs w:val="26"/>
        </w:rPr>
        <w:tab/>
      </w:r>
      <w:r w:rsidR="005B3304" w:rsidRPr="005B3304">
        <w:rPr>
          <w:rFonts w:ascii="Arial" w:hAnsi="Arial"/>
          <w:sz w:val="26"/>
          <w:szCs w:val="26"/>
        </w:rPr>
        <w:t>10</w:t>
      </w:r>
      <w:r w:rsidRPr="005B3304">
        <w:rPr>
          <w:rFonts w:ascii="Arial" w:hAnsi="Arial"/>
          <w:sz w:val="26"/>
          <w:szCs w:val="26"/>
        </w:rPr>
        <w:t>.</w:t>
      </w:r>
      <w:r w:rsidR="006E45C8" w:rsidRPr="005B3304">
        <w:rPr>
          <w:rFonts w:ascii="Arial" w:hAnsi="Arial"/>
          <w:sz w:val="26"/>
          <w:szCs w:val="26"/>
        </w:rPr>
        <w:t xml:space="preserve"> </w:t>
      </w:r>
      <w:r w:rsidRPr="005B3304">
        <w:rPr>
          <w:rFonts w:ascii="Arial" w:hAnsi="Arial"/>
          <w:sz w:val="26"/>
          <w:szCs w:val="26"/>
        </w:rPr>
        <w:tab/>
        <w:t xml:space="preserve">The Commission issued Decision </w:t>
      </w:r>
      <w:r w:rsidR="00302043" w:rsidRPr="005B3304">
        <w:rPr>
          <w:rFonts w:ascii="Arial" w:hAnsi="Arial"/>
          <w:sz w:val="26"/>
          <w:szCs w:val="26"/>
        </w:rPr>
        <w:t xml:space="preserve">12-08-046 </w:t>
      </w:r>
      <w:r w:rsidR="00C61406" w:rsidRPr="005B3304">
        <w:rPr>
          <w:rFonts w:ascii="Arial" w:hAnsi="Arial"/>
          <w:sz w:val="26"/>
          <w:szCs w:val="26"/>
        </w:rPr>
        <w:t xml:space="preserve">on August 23, 2012 </w:t>
      </w:r>
      <w:r w:rsidR="00E4410F" w:rsidRPr="005B3304">
        <w:rPr>
          <w:rFonts w:ascii="Arial" w:hAnsi="Arial"/>
          <w:sz w:val="26"/>
          <w:szCs w:val="26"/>
        </w:rPr>
        <w:t>d</w:t>
      </w:r>
      <w:r w:rsidR="00302043" w:rsidRPr="005B3304">
        <w:rPr>
          <w:rFonts w:ascii="Arial" w:hAnsi="Arial"/>
          <w:sz w:val="26"/>
          <w:szCs w:val="26"/>
        </w:rPr>
        <w:t xml:space="preserve">enying </w:t>
      </w:r>
      <w:r w:rsidR="00E4410F" w:rsidRPr="005B3304">
        <w:rPr>
          <w:rFonts w:ascii="Arial" w:hAnsi="Arial"/>
          <w:sz w:val="26"/>
          <w:szCs w:val="26"/>
        </w:rPr>
        <w:t>r</w:t>
      </w:r>
      <w:r w:rsidR="00302043" w:rsidRPr="005B3304">
        <w:rPr>
          <w:rFonts w:ascii="Arial" w:hAnsi="Arial"/>
          <w:sz w:val="26"/>
          <w:szCs w:val="26"/>
        </w:rPr>
        <w:t>ehearing and modifying Decision 11-12-053.</w:t>
      </w:r>
      <w:r w:rsidR="00302043" w:rsidRPr="005B3304">
        <w:rPr>
          <w:rFonts w:ascii="Arial" w:hAnsi="Arial"/>
          <w:sz w:val="26"/>
          <w:szCs w:val="26"/>
        </w:rPr>
        <w:tab/>
      </w:r>
      <w:r w:rsidR="00C61406" w:rsidRPr="005B3304">
        <w:rPr>
          <w:rFonts w:ascii="Arial" w:hAnsi="Arial"/>
          <w:sz w:val="26"/>
          <w:szCs w:val="26"/>
        </w:rPr>
        <w:t>Thus, this Petition is timely filed on September 21, 2012.</w:t>
      </w:r>
    </w:p>
    <w:p w:rsidR="007B2B94" w:rsidRDefault="007B2B94" w:rsidP="00E12B47">
      <w:pPr>
        <w:spacing w:before="6" w:after="0" w:line="480" w:lineRule="auto"/>
        <w:ind w:left="720"/>
        <w:rPr>
          <w:rFonts w:ascii="Arial" w:hAnsi="Arial"/>
          <w:sz w:val="26"/>
          <w:szCs w:val="26"/>
        </w:rPr>
      </w:pPr>
    </w:p>
    <w:p w:rsidR="00E12B47" w:rsidRDefault="00E12B47" w:rsidP="00E12B47">
      <w:pPr>
        <w:spacing w:before="6" w:after="0" w:line="480" w:lineRule="auto"/>
        <w:ind w:left="720"/>
        <w:rPr>
          <w:rFonts w:ascii="Arial" w:hAnsi="Arial"/>
          <w:sz w:val="26"/>
          <w:szCs w:val="26"/>
        </w:rPr>
      </w:pPr>
    </w:p>
    <w:p w:rsidR="00E12B47" w:rsidRDefault="00E12B47" w:rsidP="00E12B47">
      <w:pPr>
        <w:spacing w:before="6" w:after="0" w:line="480" w:lineRule="auto"/>
        <w:ind w:left="720"/>
        <w:rPr>
          <w:rFonts w:ascii="Arial" w:hAnsi="Arial"/>
          <w:sz w:val="26"/>
          <w:szCs w:val="26"/>
        </w:rPr>
      </w:pPr>
    </w:p>
    <w:p w:rsidR="00E12B47" w:rsidRDefault="00E12B47" w:rsidP="00E12B47">
      <w:pPr>
        <w:spacing w:before="6" w:after="0" w:line="480" w:lineRule="auto"/>
        <w:ind w:left="720"/>
        <w:rPr>
          <w:rFonts w:ascii="Arial" w:hAnsi="Arial"/>
          <w:sz w:val="26"/>
          <w:szCs w:val="26"/>
        </w:rPr>
      </w:pPr>
    </w:p>
    <w:p w:rsidR="00E12B47" w:rsidRPr="005B3304" w:rsidRDefault="00E12B47" w:rsidP="00E12B47">
      <w:pPr>
        <w:spacing w:before="6" w:after="0" w:line="480" w:lineRule="auto"/>
        <w:ind w:left="720"/>
        <w:rPr>
          <w:rFonts w:ascii="Arial" w:hAnsi="Arial"/>
          <w:sz w:val="26"/>
          <w:szCs w:val="26"/>
        </w:rPr>
      </w:pPr>
    </w:p>
    <w:p w:rsidR="00302043" w:rsidRPr="005B3304" w:rsidRDefault="00302043" w:rsidP="00E12B47">
      <w:pPr>
        <w:ind w:left="720"/>
        <w:jc w:val="center"/>
        <w:rPr>
          <w:rFonts w:ascii="Arial" w:hAnsi="Arial"/>
          <w:b/>
          <w:sz w:val="26"/>
          <w:szCs w:val="26"/>
        </w:rPr>
      </w:pPr>
      <w:r w:rsidRPr="005B3304">
        <w:rPr>
          <w:rFonts w:ascii="Arial" w:hAnsi="Arial"/>
          <w:b/>
          <w:sz w:val="26"/>
          <w:szCs w:val="26"/>
        </w:rPr>
        <w:t>PRAYER</w:t>
      </w:r>
    </w:p>
    <w:p w:rsidR="00302043" w:rsidRPr="005B3304" w:rsidRDefault="000038E6" w:rsidP="00E12B47">
      <w:pPr>
        <w:spacing w:before="6" w:after="0" w:line="480" w:lineRule="auto"/>
        <w:ind w:left="720"/>
        <w:rPr>
          <w:rFonts w:ascii="Arial" w:hAnsi="Arial"/>
          <w:sz w:val="26"/>
          <w:szCs w:val="26"/>
        </w:rPr>
      </w:pPr>
      <w:r w:rsidRPr="005B3304">
        <w:rPr>
          <w:rFonts w:ascii="Arial" w:hAnsi="Arial"/>
          <w:sz w:val="26"/>
          <w:szCs w:val="26"/>
        </w:rPr>
        <w:tab/>
        <w:t>WHEREFORE, and for the reasons stated more fully below, petitioner prays that this Court:</w:t>
      </w:r>
    </w:p>
    <w:p w:rsidR="000038E6" w:rsidRPr="005B3304" w:rsidRDefault="000038E6" w:rsidP="00E12B47">
      <w:pPr>
        <w:spacing w:before="6" w:after="0" w:line="480" w:lineRule="auto"/>
        <w:ind w:left="720"/>
        <w:rPr>
          <w:rFonts w:ascii="Arial" w:hAnsi="Arial"/>
          <w:sz w:val="26"/>
          <w:szCs w:val="26"/>
        </w:rPr>
      </w:pPr>
      <w:r w:rsidRPr="005B3304">
        <w:rPr>
          <w:rFonts w:ascii="Arial" w:hAnsi="Arial"/>
          <w:sz w:val="26"/>
          <w:szCs w:val="26"/>
        </w:rPr>
        <w:tab/>
        <w:t>1.</w:t>
      </w:r>
      <w:r w:rsidRPr="005B3304">
        <w:rPr>
          <w:rFonts w:ascii="Arial" w:hAnsi="Arial"/>
          <w:sz w:val="26"/>
          <w:szCs w:val="26"/>
        </w:rPr>
        <w:tab/>
        <w:t xml:space="preserve">Grant the Petition and issue a writ of </w:t>
      </w:r>
      <w:r w:rsidR="007B2B94" w:rsidRPr="005B3304">
        <w:rPr>
          <w:rFonts w:ascii="Arial" w:hAnsi="Arial"/>
          <w:sz w:val="26"/>
          <w:szCs w:val="26"/>
        </w:rPr>
        <w:t>review</w:t>
      </w:r>
      <w:r w:rsidRPr="005B3304">
        <w:rPr>
          <w:rFonts w:ascii="Arial" w:hAnsi="Arial"/>
          <w:sz w:val="26"/>
          <w:szCs w:val="26"/>
        </w:rPr>
        <w:t xml:space="preserve"> directing the respondent to vacate Decisions 11-12-053 and 12-08-046;</w:t>
      </w:r>
    </w:p>
    <w:p w:rsidR="000038E6" w:rsidRPr="005B3304" w:rsidRDefault="000038E6" w:rsidP="00E12B47">
      <w:pPr>
        <w:spacing w:before="6" w:after="0" w:line="480" w:lineRule="auto"/>
        <w:ind w:left="720"/>
        <w:rPr>
          <w:rFonts w:ascii="Arial" w:hAnsi="Arial"/>
          <w:sz w:val="26"/>
          <w:szCs w:val="26"/>
        </w:rPr>
      </w:pPr>
      <w:r w:rsidRPr="005B3304">
        <w:rPr>
          <w:rFonts w:ascii="Arial" w:hAnsi="Arial"/>
          <w:sz w:val="26"/>
          <w:szCs w:val="26"/>
        </w:rPr>
        <w:tab/>
        <w:t>2.</w:t>
      </w:r>
      <w:r w:rsidRPr="005B3304">
        <w:rPr>
          <w:rFonts w:ascii="Arial" w:hAnsi="Arial"/>
          <w:sz w:val="26"/>
          <w:szCs w:val="26"/>
        </w:rPr>
        <w:tab/>
        <w:t xml:space="preserve">Direct respondent to enter a new and different order providing that the differential be set using the same rate PG&amp;E charges to directly-served mobilehome </w:t>
      </w:r>
      <w:r w:rsidR="00F033F1" w:rsidRPr="005B3304">
        <w:rPr>
          <w:rFonts w:ascii="Arial" w:hAnsi="Arial"/>
          <w:sz w:val="26"/>
          <w:szCs w:val="26"/>
        </w:rPr>
        <w:t>MHP</w:t>
      </w:r>
      <w:r w:rsidRPr="005B3304">
        <w:rPr>
          <w:rFonts w:ascii="Arial" w:hAnsi="Arial"/>
          <w:sz w:val="26"/>
          <w:szCs w:val="26"/>
        </w:rPr>
        <w:t xml:space="preserve"> tenants within its service territory;</w:t>
      </w:r>
    </w:p>
    <w:p w:rsidR="000038E6" w:rsidRPr="005B3304" w:rsidRDefault="000038E6" w:rsidP="00E12B47">
      <w:pPr>
        <w:spacing w:before="6" w:after="0" w:line="480" w:lineRule="auto"/>
        <w:ind w:left="720"/>
        <w:rPr>
          <w:rFonts w:ascii="Arial" w:hAnsi="Arial"/>
          <w:sz w:val="26"/>
          <w:szCs w:val="26"/>
        </w:rPr>
      </w:pPr>
      <w:r w:rsidRPr="005B3304">
        <w:rPr>
          <w:rFonts w:ascii="Arial" w:hAnsi="Arial"/>
          <w:sz w:val="26"/>
          <w:szCs w:val="26"/>
        </w:rPr>
        <w:tab/>
        <w:t>3.</w:t>
      </w:r>
      <w:r w:rsidRPr="005B3304">
        <w:rPr>
          <w:rFonts w:ascii="Arial" w:hAnsi="Arial"/>
          <w:sz w:val="26"/>
          <w:szCs w:val="26"/>
        </w:rPr>
        <w:tab/>
        <w:t xml:space="preserve">Alternatively, issue an alternative writ of </w:t>
      </w:r>
      <w:r w:rsidR="007B2B94" w:rsidRPr="005B3304">
        <w:rPr>
          <w:rFonts w:ascii="Arial" w:hAnsi="Arial"/>
          <w:sz w:val="26"/>
          <w:szCs w:val="26"/>
        </w:rPr>
        <w:t>review</w:t>
      </w:r>
      <w:r w:rsidRPr="005B3304">
        <w:rPr>
          <w:rFonts w:ascii="Arial" w:hAnsi="Arial"/>
          <w:sz w:val="26"/>
          <w:szCs w:val="26"/>
        </w:rPr>
        <w:t xml:space="preserve"> directing the Commission to show cause why it should not be so directed, and upon return of the alternative writ, issue a writ as set forth in the prior paragraph;</w:t>
      </w:r>
    </w:p>
    <w:p w:rsidR="000038E6" w:rsidRPr="005B3304" w:rsidRDefault="000038E6" w:rsidP="00E12B47">
      <w:pPr>
        <w:spacing w:before="6" w:after="0" w:line="480" w:lineRule="auto"/>
        <w:ind w:left="720"/>
        <w:rPr>
          <w:rFonts w:ascii="Arial" w:hAnsi="Arial"/>
          <w:sz w:val="26"/>
          <w:szCs w:val="26"/>
        </w:rPr>
      </w:pPr>
      <w:r w:rsidRPr="005B3304">
        <w:rPr>
          <w:rFonts w:ascii="Arial" w:hAnsi="Arial"/>
          <w:sz w:val="26"/>
          <w:szCs w:val="26"/>
        </w:rPr>
        <w:tab/>
        <w:t>4.</w:t>
      </w:r>
      <w:r w:rsidRPr="005B3304">
        <w:rPr>
          <w:rFonts w:ascii="Arial" w:hAnsi="Arial"/>
          <w:sz w:val="26"/>
          <w:szCs w:val="26"/>
        </w:rPr>
        <w:tab/>
        <w:t>Grant such further relief as may be just and proper.</w:t>
      </w:r>
    </w:p>
    <w:p w:rsidR="000038E6" w:rsidRPr="005B3304" w:rsidRDefault="000038E6" w:rsidP="00E12B47">
      <w:pPr>
        <w:ind w:left="720"/>
        <w:rPr>
          <w:rFonts w:ascii="Arial" w:hAnsi="Arial"/>
          <w:sz w:val="26"/>
          <w:szCs w:val="26"/>
        </w:rPr>
      </w:pPr>
      <w:r w:rsidRPr="005B3304">
        <w:rPr>
          <w:rFonts w:ascii="Arial" w:hAnsi="Arial"/>
          <w:sz w:val="26"/>
          <w:szCs w:val="26"/>
        </w:rPr>
        <w:br w:type="page"/>
      </w:r>
    </w:p>
    <w:p w:rsidR="000038E6" w:rsidRPr="005B3304" w:rsidRDefault="000038E6" w:rsidP="00E12B47">
      <w:pPr>
        <w:spacing w:before="6" w:after="0" w:line="480" w:lineRule="auto"/>
        <w:ind w:left="720"/>
        <w:jc w:val="center"/>
        <w:rPr>
          <w:rFonts w:ascii="Arial" w:hAnsi="Arial"/>
          <w:b/>
          <w:sz w:val="26"/>
          <w:szCs w:val="26"/>
        </w:rPr>
      </w:pPr>
      <w:r w:rsidRPr="005B3304">
        <w:rPr>
          <w:rFonts w:ascii="Arial" w:hAnsi="Arial"/>
          <w:b/>
          <w:sz w:val="26"/>
          <w:szCs w:val="26"/>
        </w:rPr>
        <w:t>VERIFICATION</w:t>
      </w:r>
    </w:p>
    <w:p w:rsidR="000038E6" w:rsidRPr="005B3304" w:rsidRDefault="00016425" w:rsidP="00E12B47">
      <w:pPr>
        <w:spacing w:before="6" w:after="0" w:line="480" w:lineRule="auto"/>
        <w:ind w:left="720"/>
        <w:rPr>
          <w:rFonts w:ascii="Arial" w:hAnsi="Arial"/>
          <w:sz w:val="26"/>
          <w:szCs w:val="26"/>
        </w:rPr>
      </w:pPr>
      <w:r w:rsidRPr="005B3304">
        <w:rPr>
          <w:rFonts w:ascii="Arial" w:hAnsi="Arial"/>
          <w:b/>
          <w:sz w:val="26"/>
          <w:szCs w:val="26"/>
        </w:rPr>
        <w:tab/>
      </w:r>
      <w:r w:rsidRPr="005B3304">
        <w:rPr>
          <w:rFonts w:ascii="Arial" w:hAnsi="Arial"/>
          <w:sz w:val="26"/>
          <w:szCs w:val="26"/>
        </w:rPr>
        <w:t xml:space="preserve">I, EDWARD G. POOLE, am a member of Anderson &amp; Poole, P.C., one of the law firms representing petitioner.  I make this verification as petitioner’s counsel because I am more familiar with the facts relevant to this petition.  The facts referred to in this petition are true based on my knowledge from my review of the pleadings, briefs and other documents filed </w:t>
      </w:r>
      <w:r w:rsidR="005B3304" w:rsidRPr="005B3304">
        <w:rPr>
          <w:rFonts w:ascii="Arial" w:hAnsi="Arial"/>
          <w:sz w:val="26"/>
          <w:szCs w:val="26"/>
        </w:rPr>
        <w:t>with the California Public Utilities Commission</w:t>
      </w:r>
      <w:r w:rsidRPr="005B3304">
        <w:rPr>
          <w:rFonts w:ascii="Arial" w:hAnsi="Arial"/>
          <w:sz w:val="26"/>
          <w:szCs w:val="26"/>
        </w:rPr>
        <w:t>.</w:t>
      </w:r>
    </w:p>
    <w:p w:rsidR="00016425" w:rsidRPr="005B3304" w:rsidRDefault="00016425" w:rsidP="00E12B47">
      <w:pPr>
        <w:spacing w:before="6" w:after="0" w:line="480" w:lineRule="auto"/>
        <w:ind w:left="720"/>
        <w:rPr>
          <w:rFonts w:ascii="Arial" w:hAnsi="Arial"/>
          <w:sz w:val="26"/>
          <w:szCs w:val="26"/>
        </w:rPr>
      </w:pPr>
      <w:r w:rsidRPr="005B3304">
        <w:rPr>
          <w:rFonts w:ascii="Arial" w:hAnsi="Arial"/>
          <w:sz w:val="26"/>
          <w:szCs w:val="26"/>
        </w:rPr>
        <w:tab/>
        <w:t xml:space="preserve">I declare under penalty of perjury under the laws of the State of California that the foregoing is true and correct and that this verification was executed on September 21, 2012, at San Francisco, California. </w:t>
      </w:r>
    </w:p>
    <w:p w:rsidR="00016425" w:rsidRPr="005B3304" w:rsidRDefault="00016425" w:rsidP="00E12B47">
      <w:pPr>
        <w:spacing w:before="6" w:after="0" w:line="480" w:lineRule="auto"/>
        <w:ind w:left="720"/>
        <w:rPr>
          <w:rFonts w:ascii="Arial" w:hAnsi="Arial"/>
          <w:sz w:val="26"/>
          <w:szCs w:val="26"/>
        </w:rPr>
      </w:pPr>
    </w:p>
    <w:p w:rsidR="00016425" w:rsidRPr="005B3304" w:rsidRDefault="00016425" w:rsidP="00E12B47">
      <w:pPr>
        <w:spacing w:before="6" w:after="0" w:line="240" w:lineRule="auto"/>
        <w:ind w:left="720"/>
        <w:rPr>
          <w:rFonts w:ascii="Arial" w:hAnsi="Arial"/>
          <w:sz w:val="26"/>
          <w:szCs w:val="26"/>
        </w:rPr>
      </w:pP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r>
      <w:r w:rsidRPr="005B3304">
        <w:rPr>
          <w:rFonts w:ascii="Arial" w:hAnsi="Arial"/>
          <w:sz w:val="26"/>
          <w:szCs w:val="26"/>
          <w:u w:val="single"/>
        </w:rPr>
        <w:tab/>
      </w:r>
      <w:r w:rsidRPr="005B3304">
        <w:rPr>
          <w:rFonts w:ascii="Arial" w:hAnsi="Arial"/>
          <w:sz w:val="26"/>
          <w:szCs w:val="26"/>
          <w:u w:val="single"/>
        </w:rPr>
        <w:tab/>
      </w:r>
      <w:r w:rsidRPr="005B3304">
        <w:rPr>
          <w:rFonts w:ascii="Arial" w:hAnsi="Arial"/>
          <w:sz w:val="26"/>
          <w:szCs w:val="26"/>
          <w:u w:val="single"/>
        </w:rPr>
        <w:tab/>
      </w:r>
      <w:r w:rsidRPr="005B3304">
        <w:rPr>
          <w:rFonts w:ascii="Arial" w:hAnsi="Arial"/>
          <w:sz w:val="26"/>
          <w:szCs w:val="26"/>
          <w:u w:val="single"/>
        </w:rPr>
        <w:tab/>
      </w:r>
      <w:r w:rsidRPr="005B3304">
        <w:rPr>
          <w:rFonts w:ascii="Arial" w:hAnsi="Arial"/>
          <w:sz w:val="26"/>
          <w:szCs w:val="26"/>
          <w:u w:val="single"/>
        </w:rPr>
        <w:tab/>
      </w:r>
    </w:p>
    <w:p w:rsidR="00016425" w:rsidRPr="005B3304" w:rsidRDefault="00016425" w:rsidP="00E12B47">
      <w:pPr>
        <w:spacing w:before="6" w:after="0" w:line="240" w:lineRule="auto"/>
        <w:ind w:left="720"/>
        <w:rPr>
          <w:rFonts w:ascii="Arial" w:hAnsi="Arial"/>
          <w:sz w:val="26"/>
          <w:szCs w:val="26"/>
        </w:rPr>
      </w:pP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t>EDWARD G. POOLE</w:t>
      </w:r>
    </w:p>
    <w:p w:rsidR="000038E6" w:rsidRPr="005B3304" w:rsidRDefault="000038E6" w:rsidP="00E12B47">
      <w:pPr>
        <w:ind w:left="720"/>
        <w:rPr>
          <w:rFonts w:ascii="Arial" w:hAnsi="Arial"/>
          <w:b/>
          <w:sz w:val="26"/>
          <w:szCs w:val="26"/>
        </w:rPr>
      </w:pPr>
      <w:r w:rsidRPr="005B3304">
        <w:rPr>
          <w:rFonts w:ascii="Arial" w:hAnsi="Arial"/>
          <w:b/>
          <w:sz w:val="26"/>
          <w:szCs w:val="26"/>
        </w:rPr>
        <w:br w:type="page"/>
      </w:r>
    </w:p>
    <w:p w:rsidR="000038E6" w:rsidRPr="005B3304" w:rsidRDefault="000038E6" w:rsidP="00E12B47">
      <w:pPr>
        <w:spacing w:before="6" w:after="0" w:line="480" w:lineRule="auto"/>
        <w:ind w:left="720"/>
        <w:jc w:val="center"/>
        <w:rPr>
          <w:rFonts w:ascii="Arial" w:hAnsi="Arial"/>
          <w:b/>
          <w:sz w:val="26"/>
          <w:szCs w:val="26"/>
        </w:rPr>
      </w:pPr>
      <w:r w:rsidRPr="005B3304">
        <w:rPr>
          <w:rFonts w:ascii="Arial" w:hAnsi="Arial"/>
          <w:b/>
          <w:sz w:val="26"/>
          <w:szCs w:val="26"/>
        </w:rPr>
        <w:t>MEMORANDUM OF POINTS AND AUTHORITIES</w:t>
      </w:r>
    </w:p>
    <w:p w:rsidR="000038E6" w:rsidRPr="005B3304" w:rsidRDefault="000038E6" w:rsidP="00470CA5">
      <w:pPr>
        <w:spacing w:after="0" w:line="240" w:lineRule="auto"/>
        <w:ind w:left="2160" w:hanging="720"/>
        <w:rPr>
          <w:rFonts w:ascii="Arial" w:hAnsi="Arial"/>
          <w:b/>
          <w:sz w:val="26"/>
          <w:szCs w:val="26"/>
        </w:rPr>
      </w:pPr>
      <w:r w:rsidRPr="005B3304">
        <w:rPr>
          <w:rFonts w:ascii="Arial" w:hAnsi="Arial"/>
          <w:b/>
          <w:sz w:val="26"/>
          <w:szCs w:val="26"/>
        </w:rPr>
        <w:t>A.</w:t>
      </w:r>
      <w:r w:rsidRPr="005B3304">
        <w:rPr>
          <w:rFonts w:ascii="Arial" w:hAnsi="Arial"/>
          <w:b/>
          <w:sz w:val="26"/>
          <w:szCs w:val="26"/>
        </w:rPr>
        <w:tab/>
        <w:t>Writ Review Is Appropriate</w:t>
      </w:r>
      <w:r w:rsidR="00E57AA8" w:rsidRPr="005B3304">
        <w:rPr>
          <w:rFonts w:ascii="Arial" w:hAnsi="Arial"/>
          <w:b/>
          <w:sz w:val="26"/>
          <w:szCs w:val="26"/>
        </w:rPr>
        <w:t xml:space="preserve"> When The Charge To A Group Of Customers Within A Rate Class Is Different Than Rates For Identical Service Rendered To The Rest Of The Rate Class To Which They Belong.</w:t>
      </w:r>
    </w:p>
    <w:p w:rsidR="00E57AA8" w:rsidRPr="005B3304" w:rsidRDefault="00E57AA8" w:rsidP="00E12B47">
      <w:pPr>
        <w:spacing w:after="0" w:line="240" w:lineRule="auto"/>
        <w:ind w:left="720"/>
        <w:rPr>
          <w:rFonts w:ascii="Arial" w:hAnsi="Arial"/>
          <w:b/>
          <w:sz w:val="26"/>
          <w:szCs w:val="26"/>
        </w:rPr>
      </w:pPr>
    </w:p>
    <w:p w:rsidR="00E57AA8" w:rsidRPr="005B3304" w:rsidRDefault="00E57AA8" w:rsidP="00E12B47">
      <w:pPr>
        <w:spacing w:after="0" w:line="480" w:lineRule="auto"/>
        <w:ind w:left="720" w:firstLine="720"/>
        <w:rPr>
          <w:rFonts w:ascii="Arial" w:hAnsi="Arial"/>
          <w:sz w:val="26"/>
          <w:szCs w:val="26"/>
        </w:rPr>
      </w:pPr>
      <w:r w:rsidRPr="005B3304">
        <w:rPr>
          <w:rFonts w:ascii="Arial" w:hAnsi="Arial"/>
          <w:sz w:val="26"/>
          <w:szCs w:val="26"/>
        </w:rPr>
        <w:t xml:space="preserve">“The primary purpose of the Public Utilities Act…is to insure the public adequate service at reasonable rates without discrimination.” </w:t>
      </w:r>
      <w:r w:rsidRPr="005B3304">
        <w:rPr>
          <w:rFonts w:ascii="Arial" w:hAnsi="Arial"/>
          <w:sz w:val="26"/>
          <w:szCs w:val="26"/>
          <w:u w:val="single"/>
        </w:rPr>
        <w:t>Pac. Tel. &amp; Tel. v. Public Utilities Com</w:t>
      </w:r>
      <w:r w:rsidRPr="005B3304">
        <w:rPr>
          <w:rFonts w:ascii="Arial" w:hAnsi="Arial"/>
          <w:sz w:val="26"/>
          <w:szCs w:val="26"/>
        </w:rPr>
        <w:t>. (1950) 34</w:t>
      </w:r>
      <w:r w:rsidR="00470CA5">
        <w:rPr>
          <w:rFonts w:ascii="Arial" w:hAnsi="Arial"/>
          <w:sz w:val="26"/>
          <w:szCs w:val="26"/>
        </w:rPr>
        <w:t xml:space="preserve"> Cal.2d 822, 826, 215 P.2d 441.</w:t>
      </w:r>
      <w:r w:rsidRPr="005B3304">
        <w:rPr>
          <w:rFonts w:ascii="Arial" w:hAnsi="Arial"/>
          <w:sz w:val="26"/>
          <w:szCs w:val="26"/>
        </w:rPr>
        <w:t xml:space="preserve">  </w:t>
      </w:r>
      <w:r w:rsidR="00470CA5">
        <w:rPr>
          <w:rFonts w:ascii="Arial" w:hAnsi="Arial"/>
          <w:sz w:val="26"/>
          <w:szCs w:val="26"/>
        </w:rPr>
        <w:t xml:space="preserve">California Public Utilities Code </w:t>
      </w:r>
      <w:r w:rsidR="00470CA5">
        <w:rPr>
          <w:rFonts w:ascii="Arial" w:hAnsi="Arial" w:cs="Arial"/>
          <w:sz w:val="26"/>
          <w:szCs w:val="26"/>
        </w:rPr>
        <w:t>§</w:t>
      </w:r>
      <w:r w:rsidRPr="005B3304">
        <w:rPr>
          <w:rFonts w:ascii="Arial" w:hAnsi="Arial"/>
          <w:sz w:val="26"/>
          <w:szCs w:val="26"/>
        </w:rPr>
        <w:t>453 provides: “c) [n]o public utility shall establish or maintain any unreasonable difference as to rates, charges, service, facilities, or in any other respect either as between localities or as between classes of service.”</w:t>
      </w:r>
      <w:r w:rsidR="00C61406" w:rsidRPr="005B3304">
        <w:rPr>
          <w:rFonts w:ascii="Arial" w:hAnsi="Arial"/>
          <w:sz w:val="26"/>
          <w:szCs w:val="26"/>
        </w:rPr>
        <w:t xml:space="preserve">  </w:t>
      </w:r>
      <w:r w:rsidRPr="005B3304">
        <w:rPr>
          <w:rFonts w:ascii="Arial" w:hAnsi="Arial"/>
          <w:sz w:val="26"/>
          <w:szCs w:val="26"/>
        </w:rPr>
        <w:t xml:space="preserve">The elements necessary to demonstrate a violation of Section 453 </w:t>
      </w:r>
      <w:r w:rsidR="00470CA5">
        <w:rPr>
          <w:rFonts w:ascii="Arial" w:hAnsi="Arial"/>
          <w:sz w:val="26"/>
          <w:szCs w:val="26"/>
        </w:rPr>
        <w:t xml:space="preserve">therefore </w:t>
      </w:r>
      <w:r w:rsidRPr="005B3304">
        <w:rPr>
          <w:rFonts w:ascii="Arial" w:hAnsi="Arial"/>
          <w:sz w:val="26"/>
          <w:szCs w:val="26"/>
        </w:rPr>
        <w:t>are</w:t>
      </w:r>
      <w:r w:rsidR="006C2689" w:rsidRPr="005B3304">
        <w:rPr>
          <w:rFonts w:ascii="Arial" w:hAnsi="Arial"/>
          <w:sz w:val="26"/>
          <w:szCs w:val="26"/>
        </w:rPr>
        <w:t xml:space="preserve"> (</w:t>
      </w:r>
      <w:r w:rsidRPr="005B3304">
        <w:rPr>
          <w:rFonts w:ascii="Arial" w:hAnsi="Arial"/>
          <w:sz w:val="26"/>
          <w:szCs w:val="26"/>
        </w:rPr>
        <w:t>1) a different rate, charge, service, facility or in some other respect charged to the same class of customers for the same service and</w:t>
      </w:r>
      <w:r w:rsidR="006C2689" w:rsidRPr="005B3304">
        <w:rPr>
          <w:rFonts w:ascii="Arial" w:hAnsi="Arial"/>
          <w:sz w:val="26"/>
          <w:szCs w:val="26"/>
        </w:rPr>
        <w:t xml:space="preserve"> (</w:t>
      </w:r>
      <w:r w:rsidRPr="005B3304">
        <w:rPr>
          <w:rFonts w:ascii="Arial" w:hAnsi="Arial"/>
          <w:sz w:val="26"/>
          <w:szCs w:val="26"/>
        </w:rPr>
        <w:t>2) that the difference is unreasonable.  WMA made a clear showing in the hearings that both elements were met.</w:t>
      </w:r>
    </w:p>
    <w:p w:rsidR="00E57AA8" w:rsidRPr="005B3304" w:rsidRDefault="00470CA5" w:rsidP="00E12B47">
      <w:pPr>
        <w:spacing w:after="0" w:line="480" w:lineRule="auto"/>
        <w:ind w:left="720" w:firstLine="720"/>
        <w:rPr>
          <w:rFonts w:ascii="Arial" w:hAnsi="Arial"/>
          <w:sz w:val="26"/>
          <w:szCs w:val="26"/>
        </w:rPr>
      </w:pPr>
      <w:r>
        <w:rPr>
          <w:rFonts w:ascii="Arial" w:hAnsi="Arial"/>
          <w:sz w:val="26"/>
          <w:szCs w:val="26"/>
        </w:rPr>
        <w:t>While t</w:t>
      </w:r>
      <w:r w:rsidR="00E57AA8" w:rsidRPr="005B3304">
        <w:rPr>
          <w:rFonts w:ascii="Arial" w:hAnsi="Arial"/>
          <w:sz w:val="26"/>
          <w:szCs w:val="26"/>
        </w:rPr>
        <w:t>he standard of review on rehearing of WMA’s discrimination claim was correctly stated by the Commission</w:t>
      </w:r>
      <w:r>
        <w:rPr>
          <w:rFonts w:ascii="Arial" w:hAnsi="Arial"/>
          <w:sz w:val="26"/>
          <w:szCs w:val="26"/>
        </w:rPr>
        <w:t xml:space="preserve"> (</w:t>
      </w:r>
      <w:r w:rsidRPr="00470CA5">
        <w:rPr>
          <w:rFonts w:ascii="Arial" w:hAnsi="Arial"/>
          <w:i/>
          <w:sz w:val="26"/>
          <w:szCs w:val="26"/>
        </w:rPr>
        <w:t>s</w:t>
      </w:r>
      <w:r w:rsidR="00E57AA8" w:rsidRPr="00470CA5">
        <w:rPr>
          <w:rFonts w:ascii="Arial" w:hAnsi="Arial"/>
          <w:i/>
          <w:sz w:val="26"/>
          <w:szCs w:val="26"/>
        </w:rPr>
        <w:t>ee</w:t>
      </w:r>
      <w:r w:rsidR="00E57AA8" w:rsidRPr="005B3304">
        <w:rPr>
          <w:rFonts w:ascii="Arial" w:hAnsi="Arial"/>
          <w:sz w:val="26"/>
          <w:szCs w:val="26"/>
        </w:rPr>
        <w:t xml:space="preserve"> D</w:t>
      </w:r>
      <w:r w:rsidR="006C2689" w:rsidRPr="005B3304">
        <w:rPr>
          <w:rFonts w:ascii="Arial" w:hAnsi="Arial"/>
          <w:sz w:val="26"/>
          <w:szCs w:val="26"/>
        </w:rPr>
        <w:t xml:space="preserve">ecision </w:t>
      </w:r>
      <w:r w:rsidR="00E57AA8" w:rsidRPr="005B3304">
        <w:rPr>
          <w:rFonts w:ascii="Arial" w:hAnsi="Arial"/>
          <w:sz w:val="26"/>
          <w:szCs w:val="26"/>
        </w:rPr>
        <w:t>12-08-046 at pages 9-11</w:t>
      </w:r>
      <w:r>
        <w:rPr>
          <w:rFonts w:ascii="Arial" w:hAnsi="Arial"/>
          <w:sz w:val="26"/>
          <w:szCs w:val="26"/>
        </w:rPr>
        <w:t>), t</w:t>
      </w:r>
      <w:r w:rsidR="00E57AA8" w:rsidRPr="005B3304">
        <w:rPr>
          <w:rFonts w:ascii="Arial" w:hAnsi="Arial"/>
          <w:sz w:val="26"/>
          <w:szCs w:val="26"/>
        </w:rPr>
        <w:t>he Commission</w:t>
      </w:r>
      <w:r w:rsidR="006C2689" w:rsidRPr="005B3304">
        <w:rPr>
          <w:rFonts w:ascii="Arial" w:hAnsi="Arial"/>
          <w:sz w:val="26"/>
          <w:szCs w:val="26"/>
        </w:rPr>
        <w:t xml:space="preserve"> </w:t>
      </w:r>
      <w:r w:rsidR="00E57AA8" w:rsidRPr="005B3304">
        <w:rPr>
          <w:rFonts w:ascii="Arial" w:hAnsi="Arial"/>
          <w:sz w:val="26"/>
          <w:szCs w:val="26"/>
        </w:rPr>
        <w:t>err</w:t>
      </w:r>
      <w:r>
        <w:rPr>
          <w:rFonts w:ascii="Arial" w:hAnsi="Arial"/>
          <w:sz w:val="26"/>
          <w:szCs w:val="26"/>
        </w:rPr>
        <w:t>ed</w:t>
      </w:r>
      <w:r w:rsidR="00E57AA8" w:rsidRPr="005B3304">
        <w:rPr>
          <w:rFonts w:ascii="Arial" w:hAnsi="Arial"/>
          <w:sz w:val="26"/>
          <w:szCs w:val="26"/>
        </w:rPr>
        <w:t xml:space="preserve"> in finding that WMA failed to make a proper showing under this standard.  The Application for Rehearing clearly show</w:t>
      </w:r>
      <w:r w:rsidR="006C2689" w:rsidRPr="005B3304">
        <w:rPr>
          <w:rFonts w:ascii="Arial" w:hAnsi="Arial"/>
          <w:sz w:val="26"/>
          <w:szCs w:val="26"/>
        </w:rPr>
        <w:t>ed</w:t>
      </w:r>
      <w:r w:rsidR="00E57AA8" w:rsidRPr="005B3304">
        <w:rPr>
          <w:rFonts w:ascii="Arial" w:hAnsi="Arial"/>
          <w:sz w:val="26"/>
          <w:szCs w:val="26"/>
        </w:rPr>
        <w:t xml:space="preserve"> that the Commission’s adoption of PG&amp;E’s multi-family costs for calculating the </w:t>
      </w:r>
      <w:r w:rsidR="00513A77" w:rsidRPr="005B3304">
        <w:rPr>
          <w:rFonts w:ascii="Arial" w:hAnsi="Arial"/>
          <w:sz w:val="26"/>
          <w:szCs w:val="26"/>
        </w:rPr>
        <w:t>master-meter</w:t>
      </w:r>
      <w:r w:rsidR="00E57AA8" w:rsidRPr="005B3304">
        <w:rPr>
          <w:rFonts w:ascii="Arial" w:hAnsi="Arial"/>
          <w:sz w:val="26"/>
          <w:szCs w:val="26"/>
        </w:rPr>
        <w:t xml:space="preserve"> discount when PG&amp;E charges its residential rate to </w:t>
      </w:r>
      <w:r w:rsidR="00513A77" w:rsidRPr="005B3304">
        <w:rPr>
          <w:rFonts w:ascii="Arial" w:hAnsi="Arial"/>
          <w:sz w:val="26"/>
          <w:szCs w:val="26"/>
        </w:rPr>
        <w:t>directly-served</w:t>
      </w:r>
      <w:r w:rsidR="006C2689" w:rsidRPr="005B3304">
        <w:rPr>
          <w:rFonts w:ascii="Arial" w:hAnsi="Arial"/>
          <w:sz w:val="26"/>
          <w:szCs w:val="26"/>
        </w:rPr>
        <w:t xml:space="preserve"> </w:t>
      </w:r>
      <w:r w:rsidR="00F033F1" w:rsidRPr="005B3304">
        <w:rPr>
          <w:rFonts w:ascii="Arial" w:hAnsi="Arial"/>
          <w:sz w:val="26"/>
          <w:szCs w:val="26"/>
        </w:rPr>
        <w:t>MHP re</w:t>
      </w:r>
      <w:r w:rsidR="006C2689" w:rsidRPr="005B3304">
        <w:rPr>
          <w:rFonts w:ascii="Arial" w:hAnsi="Arial"/>
          <w:sz w:val="26"/>
          <w:szCs w:val="26"/>
        </w:rPr>
        <w:t>sidents</w:t>
      </w:r>
      <w:r w:rsidR="00E57AA8" w:rsidRPr="005B3304">
        <w:rPr>
          <w:rFonts w:ascii="Arial" w:hAnsi="Arial"/>
          <w:sz w:val="26"/>
          <w:szCs w:val="26"/>
        </w:rPr>
        <w:t xml:space="preserve"> </w:t>
      </w:r>
      <w:r w:rsidR="00513A77" w:rsidRPr="005B3304">
        <w:rPr>
          <w:rFonts w:ascii="Arial" w:hAnsi="Arial"/>
          <w:sz w:val="26"/>
          <w:szCs w:val="26"/>
        </w:rPr>
        <w:t>(and all other residential customers i</w:t>
      </w:r>
      <w:r w:rsidR="0095740D">
        <w:rPr>
          <w:rFonts w:ascii="Arial" w:hAnsi="Arial"/>
          <w:sz w:val="26"/>
          <w:szCs w:val="26"/>
        </w:rPr>
        <w:t>ncluding multi-family residents</w:t>
      </w:r>
      <w:r w:rsidR="00513A77" w:rsidRPr="005B3304">
        <w:rPr>
          <w:rFonts w:ascii="Arial" w:hAnsi="Arial"/>
          <w:sz w:val="26"/>
          <w:szCs w:val="26"/>
        </w:rPr>
        <w:t>)</w:t>
      </w:r>
      <w:r w:rsidR="0095740D">
        <w:rPr>
          <w:rStyle w:val="FootnoteReference"/>
          <w:rFonts w:ascii="Arial" w:hAnsi="Arial"/>
          <w:sz w:val="26"/>
          <w:szCs w:val="26"/>
        </w:rPr>
        <w:footnoteReference w:id="1"/>
      </w:r>
      <w:r w:rsidR="00513A77" w:rsidRPr="005B3304">
        <w:rPr>
          <w:rFonts w:ascii="Arial" w:hAnsi="Arial"/>
          <w:sz w:val="26"/>
          <w:szCs w:val="26"/>
        </w:rPr>
        <w:t xml:space="preserve"> </w:t>
      </w:r>
      <w:r w:rsidR="00E57AA8" w:rsidRPr="005B3304">
        <w:rPr>
          <w:rFonts w:ascii="Arial" w:hAnsi="Arial"/>
          <w:sz w:val="26"/>
          <w:szCs w:val="26"/>
        </w:rPr>
        <w:t xml:space="preserve">was unreasonably discriminatory.   The Commission relied upon evidence presented by PG&amp;E to support its proposal to use multi-family cost calculations to set the discount rate, claiming that this represented PG&amp;E’s cost of providing “comparable services.”  </w:t>
      </w:r>
      <w:r w:rsidR="006C2689" w:rsidRPr="005B3304">
        <w:rPr>
          <w:rFonts w:ascii="Arial" w:hAnsi="Arial"/>
          <w:sz w:val="26"/>
          <w:szCs w:val="26"/>
        </w:rPr>
        <w:t>Decision 12-08</w:t>
      </w:r>
      <w:r w:rsidR="00C61406" w:rsidRPr="005B3304">
        <w:rPr>
          <w:rFonts w:ascii="Arial" w:hAnsi="Arial"/>
          <w:sz w:val="26"/>
          <w:szCs w:val="26"/>
        </w:rPr>
        <w:t>-</w:t>
      </w:r>
      <w:r w:rsidR="006C2689" w:rsidRPr="005B3304">
        <w:rPr>
          <w:rFonts w:ascii="Arial" w:hAnsi="Arial"/>
          <w:sz w:val="26"/>
          <w:szCs w:val="26"/>
        </w:rPr>
        <w:t>046</w:t>
      </w:r>
      <w:r w:rsidR="00E57AA8" w:rsidRPr="005B3304">
        <w:rPr>
          <w:rFonts w:ascii="Arial" w:hAnsi="Arial"/>
          <w:sz w:val="26"/>
          <w:szCs w:val="26"/>
        </w:rPr>
        <w:t xml:space="preserve"> at 11.  However, PG&amp;E does not have a multi-family rate it uses to charge when it is providing comparable services to MHP residents </w:t>
      </w:r>
      <w:r w:rsidR="00513A77" w:rsidRPr="005B3304">
        <w:rPr>
          <w:rFonts w:ascii="Arial" w:hAnsi="Arial"/>
          <w:sz w:val="26"/>
          <w:szCs w:val="26"/>
        </w:rPr>
        <w:t xml:space="preserve">(or multi-family residents, for that matter) </w:t>
      </w:r>
      <w:r w:rsidR="00E57AA8" w:rsidRPr="005B3304">
        <w:rPr>
          <w:rFonts w:ascii="Arial" w:hAnsi="Arial"/>
          <w:sz w:val="26"/>
          <w:szCs w:val="26"/>
        </w:rPr>
        <w:t xml:space="preserve">that it serves directly.  PG&amp;E charges its residential rate when it directly serves MHP residents.  WMA submits that PG&amp;E’s residential rate is the comparable service rate charged to </w:t>
      </w:r>
      <w:r w:rsidR="00513A77" w:rsidRPr="005B3304">
        <w:rPr>
          <w:rFonts w:ascii="Arial" w:hAnsi="Arial"/>
          <w:sz w:val="26"/>
          <w:szCs w:val="26"/>
        </w:rPr>
        <w:t>directly-served</w:t>
      </w:r>
      <w:r w:rsidR="00E57AA8" w:rsidRPr="005B3304">
        <w:rPr>
          <w:rFonts w:ascii="Arial" w:hAnsi="Arial"/>
          <w:sz w:val="26"/>
          <w:szCs w:val="26"/>
        </w:rPr>
        <w:t xml:space="preserve"> MHP residents and is the only just and reasonable and not unreasonably discriminatory rate the Commission should have used to set the discount presented in the underlying proceeding.</w:t>
      </w:r>
    </w:p>
    <w:p w:rsidR="00E57AA8" w:rsidRPr="005B3304" w:rsidRDefault="00E57AA8" w:rsidP="00E12B47">
      <w:pPr>
        <w:spacing w:after="0" w:line="480" w:lineRule="auto"/>
        <w:ind w:left="720" w:firstLine="720"/>
        <w:rPr>
          <w:rFonts w:ascii="Arial" w:hAnsi="Arial"/>
          <w:sz w:val="26"/>
          <w:szCs w:val="26"/>
        </w:rPr>
      </w:pPr>
      <w:r w:rsidRPr="005B3304">
        <w:rPr>
          <w:rFonts w:ascii="Arial" w:hAnsi="Arial"/>
          <w:sz w:val="26"/>
          <w:szCs w:val="26"/>
        </w:rPr>
        <w:t xml:space="preserve">The Commission </w:t>
      </w:r>
      <w:r w:rsidR="00277246">
        <w:rPr>
          <w:rFonts w:ascii="Arial" w:hAnsi="Arial"/>
          <w:sz w:val="26"/>
          <w:szCs w:val="26"/>
        </w:rPr>
        <w:t xml:space="preserve">found </w:t>
      </w:r>
      <w:r w:rsidRPr="005B3304">
        <w:rPr>
          <w:rFonts w:ascii="Arial" w:hAnsi="Arial"/>
          <w:sz w:val="26"/>
          <w:szCs w:val="26"/>
        </w:rPr>
        <w:t xml:space="preserve">that WMA failed to identify “any actual rate” that was improperly set.  </w:t>
      </w:r>
      <w:r w:rsidR="005E0D0A" w:rsidRPr="005B3304">
        <w:rPr>
          <w:rFonts w:ascii="Arial" w:hAnsi="Arial"/>
          <w:sz w:val="26"/>
          <w:szCs w:val="26"/>
        </w:rPr>
        <w:t xml:space="preserve">Decision 12-08-046 </w:t>
      </w:r>
      <w:r w:rsidRPr="005B3304">
        <w:rPr>
          <w:rFonts w:ascii="Arial" w:hAnsi="Arial"/>
          <w:sz w:val="26"/>
          <w:szCs w:val="26"/>
        </w:rPr>
        <w:t xml:space="preserve">at 11.  This statement is </w:t>
      </w:r>
      <w:r w:rsidR="007B2B94" w:rsidRPr="005B3304">
        <w:rPr>
          <w:rFonts w:ascii="Arial" w:hAnsi="Arial"/>
          <w:sz w:val="26"/>
          <w:szCs w:val="26"/>
        </w:rPr>
        <w:t>untrue</w:t>
      </w:r>
      <w:r w:rsidRPr="005B3304">
        <w:rPr>
          <w:rFonts w:ascii="Arial" w:hAnsi="Arial"/>
          <w:sz w:val="26"/>
          <w:szCs w:val="26"/>
        </w:rPr>
        <w:t xml:space="preserve">.  WMA compared the adopted discount rate to the rate PG&amp;E charges when it provides comparable services </w:t>
      </w:r>
      <w:r w:rsidR="00277246">
        <w:rPr>
          <w:rFonts w:ascii="Arial" w:hAnsi="Arial"/>
          <w:sz w:val="26"/>
          <w:szCs w:val="26"/>
        </w:rPr>
        <w:t xml:space="preserve">to </w:t>
      </w:r>
      <w:r w:rsidRPr="005B3304">
        <w:rPr>
          <w:rFonts w:ascii="Arial" w:hAnsi="Arial"/>
          <w:sz w:val="26"/>
          <w:szCs w:val="26"/>
        </w:rPr>
        <w:t>directly</w:t>
      </w:r>
      <w:r w:rsidR="00277246">
        <w:rPr>
          <w:rFonts w:ascii="Arial" w:hAnsi="Arial"/>
          <w:sz w:val="26"/>
          <w:szCs w:val="26"/>
        </w:rPr>
        <w:t xml:space="preserve">-metered resident </w:t>
      </w:r>
      <w:r w:rsidR="00513A77" w:rsidRPr="005B3304">
        <w:rPr>
          <w:rFonts w:ascii="Arial" w:hAnsi="Arial"/>
          <w:sz w:val="26"/>
          <w:szCs w:val="26"/>
        </w:rPr>
        <w:t>tenants</w:t>
      </w:r>
      <w:r w:rsidRPr="005B3304">
        <w:rPr>
          <w:rFonts w:ascii="Arial" w:hAnsi="Arial"/>
          <w:sz w:val="26"/>
          <w:szCs w:val="26"/>
        </w:rPr>
        <w:t xml:space="preserve">.  </w:t>
      </w:r>
      <w:r w:rsidR="00277246">
        <w:rPr>
          <w:rFonts w:ascii="Arial" w:hAnsi="Arial"/>
          <w:sz w:val="26"/>
          <w:szCs w:val="26"/>
        </w:rPr>
        <w:t xml:space="preserve">Given that </w:t>
      </w:r>
      <w:r w:rsidR="003D44D7" w:rsidRPr="005B3304">
        <w:rPr>
          <w:rFonts w:ascii="Arial" w:hAnsi="Arial"/>
          <w:sz w:val="26"/>
          <w:szCs w:val="26"/>
        </w:rPr>
        <w:t xml:space="preserve">the </w:t>
      </w:r>
      <w:r w:rsidR="00513A77" w:rsidRPr="005B3304">
        <w:rPr>
          <w:rFonts w:ascii="Arial" w:hAnsi="Arial"/>
          <w:sz w:val="26"/>
          <w:szCs w:val="26"/>
        </w:rPr>
        <w:t>master-meter</w:t>
      </w:r>
      <w:r w:rsidR="003D44D7" w:rsidRPr="005B3304">
        <w:rPr>
          <w:rFonts w:ascii="Arial" w:hAnsi="Arial"/>
          <w:sz w:val="26"/>
          <w:szCs w:val="26"/>
        </w:rPr>
        <w:t xml:space="preserve"> customer pays exactly the same rate for service that PG&amp;E provides to </w:t>
      </w:r>
      <w:r w:rsidR="00513A77" w:rsidRPr="005B3304">
        <w:rPr>
          <w:rFonts w:ascii="Arial" w:hAnsi="Arial"/>
          <w:sz w:val="26"/>
          <w:szCs w:val="26"/>
        </w:rPr>
        <w:t>directly-served</w:t>
      </w:r>
      <w:r w:rsidR="00277246">
        <w:rPr>
          <w:rFonts w:ascii="Arial" w:hAnsi="Arial"/>
          <w:sz w:val="26"/>
          <w:szCs w:val="26"/>
        </w:rPr>
        <w:t xml:space="preserve"> customers, </w:t>
      </w:r>
      <w:r w:rsidRPr="005B3304">
        <w:rPr>
          <w:rFonts w:ascii="Arial" w:hAnsi="Arial"/>
          <w:sz w:val="26"/>
          <w:szCs w:val="26"/>
        </w:rPr>
        <w:t xml:space="preserve">the </w:t>
      </w:r>
      <w:r w:rsidR="00513A77" w:rsidRPr="005B3304">
        <w:rPr>
          <w:rFonts w:ascii="Arial" w:hAnsi="Arial"/>
          <w:sz w:val="26"/>
          <w:szCs w:val="26"/>
        </w:rPr>
        <w:t>master-meter</w:t>
      </w:r>
      <w:r w:rsidRPr="005B3304">
        <w:rPr>
          <w:rFonts w:ascii="Arial" w:hAnsi="Arial"/>
          <w:sz w:val="26"/>
          <w:szCs w:val="26"/>
        </w:rPr>
        <w:t xml:space="preserve"> discount rate adopted in this case is discriminatory when compared with PG&amp;E’s residential rate</w:t>
      </w:r>
      <w:r w:rsidR="005E0D0A" w:rsidRPr="005B3304">
        <w:rPr>
          <w:rFonts w:ascii="Arial" w:hAnsi="Arial"/>
          <w:sz w:val="26"/>
          <w:szCs w:val="26"/>
        </w:rPr>
        <w:t>:</w:t>
      </w:r>
      <w:r w:rsidRPr="005B3304">
        <w:rPr>
          <w:rFonts w:ascii="Arial" w:hAnsi="Arial"/>
          <w:sz w:val="26"/>
          <w:szCs w:val="26"/>
        </w:rPr>
        <w:t xml:space="preserve"> </w:t>
      </w:r>
      <w:r w:rsidR="00277246">
        <w:rPr>
          <w:rFonts w:ascii="Arial" w:hAnsi="Arial"/>
          <w:sz w:val="26"/>
          <w:szCs w:val="26"/>
        </w:rPr>
        <w:t xml:space="preserve"> </w:t>
      </w:r>
      <w:r w:rsidRPr="005B3304">
        <w:rPr>
          <w:rFonts w:ascii="Arial" w:hAnsi="Arial"/>
          <w:sz w:val="26"/>
          <w:szCs w:val="26"/>
        </w:rPr>
        <w:t xml:space="preserve">that which they charge to provide direct service to MHP resident tenants. The Commission went on to mischaracterize WMA’s rehearing request stating that “WMA’s claim of discrimination compares one particular element of the rate design we used to calculate ordinary residential rates paid by ordinary residential customers with an element of rate design we used to calculate the </w:t>
      </w:r>
      <w:r w:rsidRPr="005B3304">
        <w:rPr>
          <w:rFonts w:ascii="Arial" w:hAnsi="Arial"/>
          <w:i/>
          <w:sz w:val="26"/>
          <w:szCs w:val="26"/>
        </w:rPr>
        <w:t>bulk meter-meter</w:t>
      </w:r>
      <w:r w:rsidRPr="005B3304">
        <w:rPr>
          <w:rFonts w:ascii="Arial" w:hAnsi="Arial"/>
          <w:sz w:val="26"/>
          <w:szCs w:val="26"/>
        </w:rPr>
        <w:t xml:space="preserve"> rate paid by mobile home park owners.”  </w:t>
      </w:r>
      <w:r w:rsidR="005E0D0A" w:rsidRPr="005B3304">
        <w:rPr>
          <w:rFonts w:ascii="Arial" w:hAnsi="Arial"/>
          <w:sz w:val="26"/>
          <w:szCs w:val="26"/>
        </w:rPr>
        <w:t xml:space="preserve">Decision 12-08-046 at </w:t>
      </w:r>
      <w:r w:rsidRPr="005B3304">
        <w:rPr>
          <w:rFonts w:ascii="Arial" w:hAnsi="Arial"/>
          <w:sz w:val="26"/>
          <w:szCs w:val="26"/>
        </w:rPr>
        <w:t>11</w:t>
      </w:r>
      <w:r w:rsidR="00513A77" w:rsidRPr="005B3304">
        <w:rPr>
          <w:rFonts w:ascii="Arial" w:hAnsi="Arial"/>
          <w:sz w:val="26"/>
          <w:szCs w:val="26"/>
        </w:rPr>
        <w:t xml:space="preserve">, </w:t>
      </w:r>
      <w:r w:rsidR="00513A77" w:rsidRPr="005B3304">
        <w:rPr>
          <w:rFonts w:ascii="Arial" w:hAnsi="Arial"/>
          <w:i/>
          <w:sz w:val="26"/>
          <w:szCs w:val="26"/>
        </w:rPr>
        <w:t>emphasis added</w:t>
      </w:r>
      <w:r w:rsidRPr="005B3304">
        <w:rPr>
          <w:rFonts w:ascii="Arial" w:hAnsi="Arial"/>
          <w:sz w:val="26"/>
          <w:szCs w:val="26"/>
        </w:rPr>
        <w:t xml:space="preserve">.  There is no such thing as “bulk master-meter rate.”  There is a </w:t>
      </w:r>
      <w:r w:rsidR="00513A77" w:rsidRPr="005B3304">
        <w:rPr>
          <w:rFonts w:ascii="Arial" w:hAnsi="Arial"/>
          <w:sz w:val="26"/>
          <w:szCs w:val="26"/>
        </w:rPr>
        <w:t>master-meter</w:t>
      </w:r>
      <w:r w:rsidRPr="005B3304">
        <w:rPr>
          <w:rFonts w:ascii="Arial" w:hAnsi="Arial"/>
          <w:sz w:val="26"/>
          <w:szCs w:val="26"/>
        </w:rPr>
        <w:t xml:space="preserve"> </w:t>
      </w:r>
      <w:r w:rsidR="00513A77" w:rsidRPr="005B3304">
        <w:rPr>
          <w:rFonts w:ascii="Arial" w:hAnsi="Arial"/>
          <w:sz w:val="26"/>
          <w:szCs w:val="26"/>
        </w:rPr>
        <w:t xml:space="preserve">residential </w:t>
      </w:r>
      <w:r w:rsidRPr="005B3304">
        <w:rPr>
          <w:rFonts w:ascii="Arial" w:hAnsi="Arial"/>
          <w:sz w:val="26"/>
          <w:szCs w:val="26"/>
        </w:rPr>
        <w:t xml:space="preserve">tariff </w:t>
      </w:r>
      <w:r w:rsidR="00513A77" w:rsidRPr="005B3304">
        <w:rPr>
          <w:rFonts w:ascii="Arial" w:hAnsi="Arial"/>
          <w:sz w:val="26"/>
          <w:szCs w:val="26"/>
        </w:rPr>
        <w:t xml:space="preserve">schedule </w:t>
      </w:r>
      <w:r w:rsidRPr="005B3304">
        <w:rPr>
          <w:rFonts w:ascii="Arial" w:hAnsi="Arial"/>
          <w:sz w:val="26"/>
          <w:szCs w:val="26"/>
        </w:rPr>
        <w:t>that is simply PG&amp;E’s residential rate minus the discount rate.  Th</w:t>
      </w:r>
      <w:r w:rsidR="00277246">
        <w:rPr>
          <w:rFonts w:ascii="Arial" w:hAnsi="Arial"/>
          <w:sz w:val="26"/>
          <w:szCs w:val="26"/>
        </w:rPr>
        <w:t xml:space="preserve">e Commission’s </w:t>
      </w:r>
      <w:r w:rsidRPr="005B3304">
        <w:rPr>
          <w:rFonts w:ascii="Arial" w:hAnsi="Arial"/>
          <w:sz w:val="26"/>
          <w:szCs w:val="26"/>
        </w:rPr>
        <w:t>discussion represents a fundamental misunderstanding of both WMA’s argument on rehearing and the action taken by the Commission itself when it set the discount rate.</w:t>
      </w:r>
      <w:r w:rsidR="003D44D7" w:rsidRPr="005B3304">
        <w:rPr>
          <w:rFonts w:ascii="Arial" w:hAnsi="Arial"/>
          <w:sz w:val="26"/>
          <w:szCs w:val="26"/>
        </w:rPr>
        <w:t xml:space="preserve">  The Commission also fails to acknowledge (or understand) that </w:t>
      </w:r>
      <w:r w:rsidR="00513A77" w:rsidRPr="005B3304">
        <w:rPr>
          <w:rFonts w:ascii="Arial" w:hAnsi="Arial"/>
          <w:sz w:val="26"/>
          <w:szCs w:val="26"/>
        </w:rPr>
        <w:t>master-meter</w:t>
      </w:r>
      <w:r w:rsidR="003D44D7" w:rsidRPr="005B3304">
        <w:rPr>
          <w:rFonts w:ascii="Arial" w:hAnsi="Arial"/>
          <w:sz w:val="26"/>
          <w:szCs w:val="26"/>
        </w:rPr>
        <w:t xml:space="preserve"> customers are not wholesale customers who resell “bulk” power. They are re</w:t>
      </w:r>
      <w:r w:rsidR="007B2B94" w:rsidRPr="005B3304">
        <w:rPr>
          <w:rFonts w:ascii="Arial" w:hAnsi="Arial"/>
          <w:sz w:val="26"/>
          <w:szCs w:val="26"/>
        </w:rPr>
        <w:t>sidential</w:t>
      </w:r>
      <w:r w:rsidR="003D44D7" w:rsidRPr="005B3304">
        <w:rPr>
          <w:rFonts w:ascii="Arial" w:hAnsi="Arial"/>
          <w:sz w:val="26"/>
          <w:szCs w:val="26"/>
        </w:rPr>
        <w:t xml:space="preserve"> customers who are passing through rates as directed by law.</w:t>
      </w:r>
    </w:p>
    <w:p w:rsidR="005E0D0A" w:rsidRPr="005B3304" w:rsidRDefault="00277246" w:rsidP="00E12B47">
      <w:pPr>
        <w:spacing w:after="0" w:line="480" w:lineRule="auto"/>
        <w:ind w:left="720" w:firstLine="720"/>
        <w:rPr>
          <w:rFonts w:ascii="Arial" w:hAnsi="Arial"/>
          <w:sz w:val="26"/>
          <w:szCs w:val="26"/>
        </w:rPr>
      </w:pPr>
      <w:r>
        <w:rPr>
          <w:rFonts w:ascii="Arial" w:hAnsi="Arial"/>
          <w:sz w:val="26"/>
          <w:szCs w:val="26"/>
        </w:rPr>
        <w:t>S</w:t>
      </w:r>
      <w:r w:rsidR="005E0D0A" w:rsidRPr="005B3304">
        <w:rPr>
          <w:rFonts w:ascii="Arial" w:hAnsi="Arial"/>
          <w:sz w:val="26"/>
          <w:szCs w:val="26"/>
        </w:rPr>
        <w:t>ome discrimination may be reasonable</w:t>
      </w:r>
      <w:r>
        <w:rPr>
          <w:rFonts w:ascii="Arial" w:hAnsi="Arial"/>
          <w:sz w:val="26"/>
          <w:szCs w:val="26"/>
        </w:rPr>
        <w:t xml:space="preserve">.  In </w:t>
      </w:r>
      <w:r w:rsidR="005E0D0A" w:rsidRPr="005B3304">
        <w:rPr>
          <w:rFonts w:ascii="Arial" w:hAnsi="Arial"/>
          <w:sz w:val="26"/>
          <w:szCs w:val="26"/>
        </w:rPr>
        <w:t>this case</w:t>
      </w:r>
      <w:r>
        <w:rPr>
          <w:rFonts w:ascii="Arial" w:hAnsi="Arial"/>
          <w:sz w:val="26"/>
          <w:szCs w:val="26"/>
        </w:rPr>
        <w:t>, however,</w:t>
      </w:r>
      <w:r w:rsidR="005E0D0A" w:rsidRPr="005B3304">
        <w:rPr>
          <w:rFonts w:ascii="Arial" w:hAnsi="Arial"/>
          <w:sz w:val="26"/>
          <w:szCs w:val="26"/>
        </w:rPr>
        <w:t xml:space="preserve"> it is </w:t>
      </w:r>
      <w:r>
        <w:rPr>
          <w:rFonts w:ascii="Arial" w:hAnsi="Arial"/>
          <w:sz w:val="26"/>
          <w:szCs w:val="26"/>
        </w:rPr>
        <w:t xml:space="preserve">unreasonable </w:t>
      </w:r>
      <w:r w:rsidR="005E0D0A" w:rsidRPr="005B3304">
        <w:rPr>
          <w:rFonts w:ascii="Arial" w:hAnsi="Arial"/>
          <w:sz w:val="26"/>
          <w:szCs w:val="26"/>
        </w:rPr>
        <w:t xml:space="preserve">for two reasons: (1) the Commission violated Section 739.5 because it did not cap the discount at PG&amp;E’s average cost of comparable service, choosing instead to adopt a rate substantially lower </w:t>
      </w:r>
      <w:r w:rsidR="00513A77" w:rsidRPr="005B3304">
        <w:rPr>
          <w:rFonts w:ascii="Arial" w:hAnsi="Arial"/>
          <w:sz w:val="26"/>
          <w:szCs w:val="26"/>
        </w:rPr>
        <w:t xml:space="preserve">that is not related to the computation of the default residential rate </w:t>
      </w:r>
      <w:r w:rsidR="005E0D0A" w:rsidRPr="005B3304">
        <w:rPr>
          <w:rFonts w:ascii="Arial" w:hAnsi="Arial"/>
          <w:sz w:val="26"/>
          <w:szCs w:val="26"/>
        </w:rPr>
        <w:t xml:space="preserve">to the detriment of </w:t>
      </w:r>
      <w:r w:rsidR="00513A77" w:rsidRPr="005B3304">
        <w:rPr>
          <w:rFonts w:ascii="Arial" w:hAnsi="Arial"/>
          <w:sz w:val="26"/>
          <w:szCs w:val="26"/>
        </w:rPr>
        <w:t>master-meter</w:t>
      </w:r>
      <w:r w:rsidR="005E0D0A" w:rsidRPr="005B3304">
        <w:rPr>
          <w:rFonts w:ascii="Arial" w:hAnsi="Arial"/>
          <w:sz w:val="26"/>
          <w:szCs w:val="26"/>
        </w:rPr>
        <w:t xml:space="preserve"> customers; and, (2) the Commission failed to consider the adverse impact on </w:t>
      </w:r>
      <w:r w:rsidR="00C63F6B">
        <w:rPr>
          <w:rFonts w:ascii="Arial" w:hAnsi="Arial"/>
          <w:sz w:val="26"/>
          <w:szCs w:val="26"/>
        </w:rPr>
        <w:t>master-metered</w:t>
      </w:r>
      <w:r w:rsidR="005E0D0A" w:rsidRPr="005B3304">
        <w:rPr>
          <w:rFonts w:ascii="Arial" w:hAnsi="Arial"/>
          <w:sz w:val="26"/>
          <w:szCs w:val="26"/>
        </w:rPr>
        <w:t xml:space="preserve"> MHP owners of its discriminatory rate decision.  As such, the Petition for </w:t>
      </w:r>
      <w:r w:rsidR="007B2B94" w:rsidRPr="005B3304">
        <w:rPr>
          <w:rFonts w:ascii="Arial" w:hAnsi="Arial"/>
          <w:sz w:val="26"/>
          <w:szCs w:val="26"/>
        </w:rPr>
        <w:t>Review</w:t>
      </w:r>
      <w:r w:rsidR="005E0D0A" w:rsidRPr="005B3304">
        <w:rPr>
          <w:rFonts w:ascii="Arial" w:hAnsi="Arial"/>
          <w:sz w:val="26"/>
          <w:szCs w:val="26"/>
        </w:rPr>
        <w:t xml:space="preserve"> should issue.</w:t>
      </w:r>
    </w:p>
    <w:p w:rsidR="005E0D0A" w:rsidRDefault="005E0D0A" w:rsidP="00E12B47">
      <w:pPr>
        <w:spacing w:after="0" w:line="480" w:lineRule="auto"/>
        <w:ind w:left="720"/>
        <w:rPr>
          <w:rFonts w:ascii="Arial" w:hAnsi="Arial"/>
          <w:sz w:val="26"/>
          <w:szCs w:val="26"/>
        </w:rPr>
      </w:pPr>
    </w:p>
    <w:p w:rsidR="00277246" w:rsidRDefault="00277246" w:rsidP="00E12B47">
      <w:pPr>
        <w:spacing w:after="0" w:line="480" w:lineRule="auto"/>
        <w:ind w:left="720"/>
        <w:rPr>
          <w:rFonts w:ascii="Arial" w:hAnsi="Arial"/>
          <w:sz w:val="26"/>
          <w:szCs w:val="26"/>
        </w:rPr>
      </w:pPr>
    </w:p>
    <w:p w:rsidR="00277246" w:rsidRDefault="00277246" w:rsidP="00E12B47">
      <w:pPr>
        <w:spacing w:after="0" w:line="480" w:lineRule="auto"/>
        <w:ind w:left="720"/>
        <w:rPr>
          <w:rFonts w:ascii="Arial" w:hAnsi="Arial"/>
          <w:sz w:val="26"/>
          <w:szCs w:val="26"/>
        </w:rPr>
      </w:pPr>
    </w:p>
    <w:p w:rsidR="00277246" w:rsidRDefault="00277246" w:rsidP="00E12B47">
      <w:pPr>
        <w:spacing w:after="0" w:line="480" w:lineRule="auto"/>
        <w:ind w:left="720"/>
        <w:rPr>
          <w:rFonts w:ascii="Arial" w:hAnsi="Arial"/>
          <w:sz w:val="26"/>
          <w:szCs w:val="26"/>
        </w:rPr>
      </w:pPr>
    </w:p>
    <w:p w:rsidR="00277246" w:rsidRPr="005B3304" w:rsidRDefault="00277246" w:rsidP="00E12B47">
      <w:pPr>
        <w:spacing w:after="0" w:line="480" w:lineRule="auto"/>
        <w:ind w:left="720"/>
        <w:rPr>
          <w:rFonts w:ascii="Arial" w:hAnsi="Arial"/>
          <w:sz w:val="26"/>
          <w:szCs w:val="26"/>
        </w:rPr>
      </w:pPr>
    </w:p>
    <w:p w:rsidR="000038E6" w:rsidRPr="005B3304" w:rsidRDefault="005E0D0A" w:rsidP="00277246">
      <w:pPr>
        <w:spacing w:after="0" w:line="240" w:lineRule="auto"/>
        <w:ind w:left="2160" w:hanging="720"/>
        <w:rPr>
          <w:rFonts w:ascii="Arial" w:hAnsi="Arial"/>
          <w:b/>
          <w:sz w:val="26"/>
          <w:szCs w:val="26"/>
        </w:rPr>
      </w:pPr>
      <w:r w:rsidRPr="005B3304">
        <w:rPr>
          <w:rFonts w:ascii="Arial" w:hAnsi="Arial"/>
          <w:b/>
          <w:sz w:val="26"/>
          <w:szCs w:val="26"/>
        </w:rPr>
        <w:t>B.</w:t>
      </w:r>
      <w:r w:rsidRPr="005B3304">
        <w:rPr>
          <w:rFonts w:ascii="Arial" w:hAnsi="Arial"/>
          <w:b/>
          <w:sz w:val="26"/>
          <w:szCs w:val="26"/>
        </w:rPr>
        <w:tab/>
        <w:t xml:space="preserve">The Commission Set An Unreasonably Discriminatory Rate And Violated </w:t>
      </w:r>
      <w:r w:rsidR="00217243" w:rsidRPr="005B3304">
        <w:rPr>
          <w:rFonts w:ascii="Arial" w:hAnsi="Arial"/>
          <w:b/>
          <w:sz w:val="26"/>
          <w:szCs w:val="26"/>
        </w:rPr>
        <w:t xml:space="preserve">Public Utilities Code </w:t>
      </w:r>
      <w:r w:rsidR="00217243" w:rsidRPr="005B3304">
        <w:rPr>
          <w:rFonts w:ascii="Arial" w:hAnsi="Arial" w:cs="Arial"/>
          <w:b/>
          <w:sz w:val="26"/>
          <w:szCs w:val="26"/>
        </w:rPr>
        <w:t>§</w:t>
      </w:r>
      <w:r w:rsidRPr="005B3304">
        <w:rPr>
          <w:rFonts w:ascii="Arial" w:hAnsi="Arial"/>
          <w:b/>
          <w:sz w:val="26"/>
          <w:szCs w:val="26"/>
        </w:rPr>
        <w:t xml:space="preserve">739.5 </w:t>
      </w:r>
      <w:r w:rsidR="00C61406" w:rsidRPr="005B3304">
        <w:rPr>
          <w:rFonts w:ascii="Arial" w:hAnsi="Arial"/>
          <w:b/>
          <w:sz w:val="26"/>
          <w:szCs w:val="26"/>
        </w:rPr>
        <w:t xml:space="preserve">By Setting </w:t>
      </w:r>
      <w:r w:rsidRPr="005B3304">
        <w:rPr>
          <w:rFonts w:ascii="Arial" w:hAnsi="Arial"/>
          <w:b/>
          <w:sz w:val="26"/>
          <w:szCs w:val="26"/>
        </w:rPr>
        <w:t xml:space="preserve">The </w:t>
      </w:r>
      <w:r w:rsidR="00513A77" w:rsidRPr="005B3304">
        <w:rPr>
          <w:rFonts w:ascii="Arial" w:hAnsi="Arial"/>
          <w:b/>
          <w:sz w:val="26"/>
          <w:szCs w:val="26"/>
        </w:rPr>
        <w:t>Master-meter</w:t>
      </w:r>
      <w:r w:rsidRPr="005B3304">
        <w:rPr>
          <w:rFonts w:ascii="Arial" w:hAnsi="Arial"/>
          <w:b/>
          <w:sz w:val="26"/>
          <w:szCs w:val="26"/>
        </w:rPr>
        <w:t xml:space="preserve"> Discount Using A Different Rate From That Which PG&amp;E Charges Residential Tenants Of Parks It Serves Directly.</w:t>
      </w:r>
      <w:r w:rsidRPr="005B3304">
        <w:rPr>
          <w:rFonts w:ascii="Arial" w:hAnsi="Arial"/>
          <w:b/>
          <w:sz w:val="26"/>
          <w:szCs w:val="26"/>
        </w:rPr>
        <w:tab/>
      </w:r>
    </w:p>
    <w:p w:rsidR="005E0D0A" w:rsidRPr="005B3304" w:rsidRDefault="005E0D0A" w:rsidP="00E12B47">
      <w:pPr>
        <w:spacing w:before="6" w:after="0" w:line="240" w:lineRule="auto"/>
        <w:ind w:left="720"/>
        <w:rPr>
          <w:rFonts w:ascii="Arial" w:hAnsi="Arial"/>
          <w:b/>
          <w:sz w:val="26"/>
          <w:szCs w:val="26"/>
        </w:rPr>
      </w:pPr>
      <w:r w:rsidRPr="005B3304">
        <w:rPr>
          <w:rFonts w:ascii="Arial" w:hAnsi="Arial"/>
          <w:b/>
          <w:sz w:val="26"/>
          <w:szCs w:val="26"/>
        </w:rPr>
        <w:tab/>
      </w:r>
    </w:p>
    <w:p w:rsidR="005E0D0A" w:rsidRPr="005B3304" w:rsidRDefault="005E0D0A" w:rsidP="00E12B47">
      <w:pPr>
        <w:spacing w:before="6" w:after="0" w:line="480" w:lineRule="auto"/>
        <w:ind w:left="720" w:firstLine="720"/>
        <w:rPr>
          <w:rFonts w:ascii="Arial" w:hAnsi="Arial"/>
          <w:sz w:val="26"/>
          <w:szCs w:val="26"/>
        </w:rPr>
      </w:pPr>
      <w:r w:rsidRPr="005B3304">
        <w:rPr>
          <w:rFonts w:ascii="Arial" w:hAnsi="Arial"/>
          <w:sz w:val="26"/>
          <w:szCs w:val="26"/>
        </w:rPr>
        <w:t xml:space="preserve">The Commission stated that WMA failed to demonstrate that any claimed discrimination was unreasonable.  </w:t>
      </w:r>
      <w:r w:rsidR="00277246">
        <w:rPr>
          <w:rFonts w:ascii="Arial" w:hAnsi="Arial"/>
          <w:sz w:val="26"/>
          <w:szCs w:val="26"/>
        </w:rPr>
        <w:t xml:space="preserve">Decision 12-08-046 at 11.  Iin this case, however, it </w:t>
      </w:r>
      <w:r w:rsidR="00277246" w:rsidRPr="00277246">
        <w:rPr>
          <w:rFonts w:ascii="Arial" w:hAnsi="Arial"/>
          <w:sz w:val="26"/>
          <w:szCs w:val="26"/>
        </w:rPr>
        <w:t>is</w:t>
      </w:r>
      <w:r w:rsidR="00277246">
        <w:rPr>
          <w:rFonts w:ascii="Arial" w:hAnsi="Arial"/>
          <w:sz w:val="26"/>
          <w:szCs w:val="26"/>
        </w:rPr>
        <w:t xml:space="preserve"> </w:t>
      </w:r>
      <w:r w:rsidRPr="005B3304">
        <w:rPr>
          <w:rFonts w:ascii="Arial" w:hAnsi="Arial"/>
          <w:sz w:val="26"/>
          <w:szCs w:val="26"/>
        </w:rPr>
        <w:t xml:space="preserve">unreasonable because it adopted a different charge for identical service to identically situated customers when those customers were served by </w:t>
      </w:r>
      <w:r w:rsidR="00C63F6B">
        <w:rPr>
          <w:rFonts w:ascii="Arial" w:hAnsi="Arial"/>
          <w:sz w:val="26"/>
          <w:szCs w:val="26"/>
        </w:rPr>
        <w:t>master-metered</w:t>
      </w:r>
      <w:r w:rsidRPr="005B3304">
        <w:rPr>
          <w:rFonts w:ascii="Arial" w:hAnsi="Arial"/>
          <w:sz w:val="26"/>
          <w:szCs w:val="26"/>
        </w:rPr>
        <w:t xml:space="preserve"> </w:t>
      </w:r>
      <w:r w:rsidR="00F033F1" w:rsidRPr="005B3304">
        <w:rPr>
          <w:rFonts w:ascii="Arial" w:hAnsi="Arial"/>
          <w:sz w:val="26"/>
          <w:szCs w:val="26"/>
        </w:rPr>
        <w:t>MHP</w:t>
      </w:r>
      <w:r w:rsidRPr="005B3304">
        <w:rPr>
          <w:rFonts w:ascii="Arial" w:hAnsi="Arial"/>
          <w:sz w:val="26"/>
          <w:szCs w:val="26"/>
        </w:rPr>
        <w:t xml:space="preserve"> owners instead of PG&amp;E. </w:t>
      </w:r>
    </w:p>
    <w:p w:rsidR="005E0D0A" w:rsidRPr="005B3304" w:rsidRDefault="005E0D0A" w:rsidP="00E12B47">
      <w:pPr>
        <w:spacing w:before="6" w:after="0" w:line="480" w:lineRule="auto"/>
        <w:ind w:left="720" w:firstLine="720"/>
        <w:rPr>
          <w:rFonts w:ascii="Arial" w:hAnsi="Arial"/>
          <w:sz w:val="26"/>
          <w:szCs w:val="26"/>
        </w:rPr>
      </w:pPr>
      <w:r w:rsidRPr="005B3304">
        <w:rPr>
          <w:rFonts w:ascii="Arial" w:hAnsi="Arial"/>
          <w:sz w:val="26"/>
          <w:szCs w:val="26"/>
        </w:rPr>
        <w:t>There is no dispute that when PG&amp;E serv</w:t>
      </w:r>
      <w:r w:rsidR="00F033F1" w:rsidRPr="005B3304">
        <w:rPr>
          <w:rFonts w:ascii="Arial" w:hAnsi="Arial"/>
          <w:sz w:val="26"/>
          <w:szCs w:val="26"/>
        </w:rPr>
        <w:t>es residential tenants within a</w:t>
      </w:r>
      <w:r w:rsidR="00017A8A" w:rsidRPr="005B3304">
        <w:rPr>
          <w:rFonts w:ascii="Arial" w:hAnsi="Arial"/>
          <w:sz w:val="26"/>
          <w:szCs w:val="26"/>
        </w:rPr>
        <w:t xml:space="preserve"> </w:t>
      </w:r>
      <w:r w:rsidR="00513A77" w:rsidRPr="005B3304">
        <w:rPr>
          <w:rFonts w:ascii="Arial" w:hAnsi="Arial"/>
          <w:sz w:val="26"/>
          <w:szCs w:val="26"/>
        </w:rPr>
        <w:t>directly-served</w:t>
      </w:r>
      <w:r w:rsidR="00F033F1" w:rsidRPr="005B3304">
        <w:rPr>
          <w:rFonts w:ascii="Arial" w:hAnsi="Arial"/>
          <w:sz w:val="26"/>
          <w:szCs w:val="26"/>
        </w:rPr>
        <w:t xml:space="preserve"> </w:t>
      </w:r>
      <w:r w:rsidRPr="005B3304">
        <w:rPr>
          <w:rFonts w:ascii="Arial" w:hAnsi="Arial"/>
          <w:sz w:val="26"/>
          <w:szCs w:val="26"/>
        </w:rPr>
        <w:t xml:space="preserve">MHP it charges residential rates.  Section 739.5 requires the Commission to compensate </w:t>
      </w:r>
      <w:r w:rsidR="00C63F6B">
        <w:rPr>
          <w:rFonts w:ascii="Arial" w:hAnsi="Arial"/>
          <w:sz w:val="26"/>
          <w:szCs w:val="26"/>
        </w:rPr>
        <w:t>master-metered</w:t>
      </w:r>
      <w:r w:rsidR="00017A8A" w:rsidRPr="005B3304">
        <w:rPr>
          <w:rFonts w:ascii="Arial" w:hAnsi="Arial"/>
          <w:sz w:val="26"/>
          <w:szCs w:val="26"/>
        </w:rPr>
        <w:t xml:space="preserve"> </w:t>
      </w:r>
      <w:r w:rsidRPr="005B3304">
        <w:rPr>
          <w:rFonts w:ascii="Arial" w:hAnsi="Arial"/>
          <w:sz w:val="26"/>
          <w:szCs w:val="26"/>
        </w:rPr>
        <w:t xml:space="preserve">MHP owners for service to its resident tenants at PG&amp;E’s cost capped at the average cost of providing comparable service.  PG&amp;E’s residential rate charged to </w:t>
      </w:r>
      <w:r w:rsidR="00513A77" w:rsidRPr="005B3304">
        <w:rPr>
          <w:rFonts w:ascii="Arial" w:hAnsi="Arial"/>
          <w:sz w:val="26"/>
          <w:szCs w:val="26"/>
        </w:rPr>
        <w:t>directly-served</w:t>
      </w:r>
      <w:r w:rsidRPr="005B3304">
        <w:rPr>
          <w:rFonts w:ascii="Arial" w:hAnsi="Arial"/>
          <w:sz w:val="26"/>
          <w:szCs w:val="26"/>
        </w:rPr>
        <w:t xml:space="preserve"> MHP residential tenant customers is the average cost of providing comparable service.    WMA submits that the only rate relevant to setting the differential for </w:t>
      </w:r>
      <w:r w:rsidR="00C63F6B">
        <w:rPr>
          <w:rFonts w:ascii="Arial" w:hAnsi="Arial"/>
          <w:sz w:val="26"/>
          <w:szCs w:val="26"/>
        </w:rPr>
        <w:t>master-metered</w:t>
      </w:r>
      <w:r w:rsidRPr="005B3304">
        <w:rPr>
          <w:rFonts w:ascii="Arial" w:hAnsi="Arial"/>
          <w:sz w:val="26"/>
          <w:szCs w:val="26"/>
        </w:rPr>
        <w:t xml:space="preserve"> MHPs is the same rate PG&amp;E charges to </w:t>
      </w:r>
      <w:r w:rsidR="00513A77" w:rsidRPr="005B3304">
        <w:rPr>
          <w:rFonts w:ascii="Arial" w:hAnsi="Arial"/>
          <w:sz w:val="26"/>
          <w:szCs w:val="26"/>
        </w:rPr>
        <w:t>directly-served</w:t>
      </w:r>
      <w:r w:rsidRPr="005B3304">
        <w:rPr>
          <w:rFonts w:ascii="Arial" w:hAnsi="Arial"/>
          <w:sz w:val="26"/>
          <w:szCs w:val="26"/>
        </w:rPr>
        <w:t xml:space="preserve"> MHP residential customers.  The Commission’s failure to do so is unreasonably discriminatory </w:t>
      </w:r>
      <w:r w:rsidR="00000A69" w:rsidRPr="005B3304">
        <w:rPr>
          <w:rFonts w:ascii="Arial" w:hAnsi="Arial"/>
          <w:sz w:val="26"/>
          <w:szCs w:val="26"/>
        </w:rPr>
        <w:t>in contravention of Section 453(</w:t>
      </w:r>
      <w:r w:rsidRPr="005B3304">
        <w:rPr>
          <w:rFonts w:ascii="Arial" w:hAnsi="Arial"/>
          <w:sz w:val="26"/>
          <w:szCs w:val="26"/>
        </w:rPr>
        <w:t xml:space="preserve">c) and Section 739.5.  </w:t>
      </w:r>
    </w:p>
    <w:p w:rsidR="005E0D0A" w:rsidRPr="005B3304" w:rsidRDefault="005E0D0A" w:rsidP="00E12B47">
      <w:pPr>
        <w:spacing w:before="6" w:after="0" w:line="480" w:lineRule="auto"/>
        <w:ind w:left="720" w:firstLine="720"/>
        <w:rPr>
          <w:rFonts w:ascii="Arial" w:hAnsi="Arial"/>
          <w:sz w:val="26"/>
          <w:szCs w:val="26"/>
        </w:rPr>
      </w:pPr>
      <w:r w:rsidRPr="005B3304">
        <w:rPr>
          <w:rFonts w:ascii="Arial" w:hAnsi="Arial"/>
          <w:sz w:val="26"/>
          <w:szCs w:val="26"/>
        </w:rPr>
        <w:t>The Commission rejected WMA’s Request for Rehearing stating that</w:t>
      </w:r>
      <w:r w:rsidR="00513A77" w:rsidRPr="005B3304">
        <w:rPr>
          <w:rFonts w:ascii="Arial" w:hAnsi="Arial"/>
          <w:sz w:val="26"/>
          <w:szCs w:val="26"/>
        </w:rPr>
        <w:t>,</w:t>
      </w:r>
      <w:r w:rsidRPr="005B3304">
        <w:rPr>
          <w:rFonts w:ascii="Arial" w:hAnsi="Arial"/>
          <w:sz w:val="26"/>
          <w:szCs w:val="26"/>
        </w:rPr>
        <w:t xml:space="preserve"> “the rehearing application provides no reason why all electricity delivered to any mobilehome park must be priced the same way, regardless of the facilities in place at different mobile home parks…”  </w:t>
      </w:r>
      <w:r w:rsidR="00017A8A" w:rsidRPr="005B3304">
        <w:rPr>
          <w:rFonts w:ascii="Arial" w:hAnsi="Arial"/>
          <w:sz w:val="26"/>
          <w:szCs w:val="26"/>
        </w:rPr>
        <w:t>Decision 12-08-046</w:t>
      </w:r>
      <w:r w:rsidRPr="005B3304">
        <w:rPr>
          <w:rFonts w:ascii="Arial" w:hAnsi="Arial"/>
          <w:sz w:val="26"/>
          <w:szCs w:val="26"/>
        </w:rPr>
        <w:t xml:space="preserve"> at page 1</w:t>
      </w:r>
      <w:r w:rsidR="00017A8A" w:rsidRPr="005B3304">
        <w:rPr>
          <w:rFonts w:ascii="Arial" w:hAnsi="Arial"/>
          <w:sz w:val="26"/>
          <w:szCs w:val="26"/>
        </w:rPr>
        <w:t>2</w:t>
      </w:r>
      <w:r w:rsidRPr="005B3304">
        <w:rPr>
          <w:rFonts w:ascii="Arial" w:hAnsi="Arial"/>
          <w:sz w:val="26"/>
          <w:szCs w:val="26"/>
        </w:rPr>
        <w:t>.  On the contrary, it is clear that Section 739.5 and 453</w:t>
      </w:r>
      <w:r w:rsidR="00017A8A" w:rsidRPr="005B3304">
        <w:rPr>
          <w:rFonts w:ascii="Arial" w:hAnsi="Arial"/>
          <w:sz w:val="26"/>
          <w:szCs w:val="26"/>
        </w:rPr>
        <w:t>(</w:t>
      </w:r>
      <w:r w:rsidRPr="005B3304">
        <w:rPr>
          <w:rFonts w:ascii="Arial" w:hAnsi="Arial"/>
          <w:sz w:val="26"/>
          <w:szCs w:val="26"/>
        </w:rPr>
        <w:t>c) require that the Commission must do exactly that</w:t>
      </w:r>
      <w:r w:rsidR="00017A8A" w:rsidRPr="005B3304">
        <w:rPr>
          <w:rFonts w:ascii="Arial" w:hAnsi="Arial"/>
          <w:sz w:val="26"/>
          <w:szCs w:val="26"/>
        </w:rPr>
        <w:t>:</w:t>
      </w:r>
      <w:r w:rsidRPr="005B3304">
        <w:rPr>
          <w:rFonts w:ascii="Arial" w:hAnsi="Arial"/>
          <w:sz w:val="26"/>
          <w:szCs w:val="26"/>
        </w:rPr>
        <w:t xml:space="preserve"> set the discount at the same rate that PG&amp;E charges when serving the same customers through direct service.  In PG&amp;E’s service territory, that rate is the residential rate.  </w:t>
      </w:r>
      <w:r w:rsidR="00000A69" w:rsidRPr="005B3304">
        <w:rPr>
          <w:rFonts w:ascii="Arial" w:hAnsi="Arial"/>
          <w:sz w:val="26"/>
          <w:szCs w:val="26"/>
        </w:rPr>
        <w:t>PG&amp;E’s tariff, Schedule E-1, makes no distinction among residential customers.</w:t>
      </w:r>
      <w:r w:rsidR="00B2283C" w:rsidRPr="005B3304">
        <w:rPr>
          <w:rStyle w:val="FootnoteReference"/>
          <w:rFonts w:ascii="Arial" w:hAnsi="Arial"/>
          <w:sz w:val="26"/>
          <w:szCs w:val="26"/>
        </w:rPr>
        <w:footnoteReference w:id="2"/>
      </w:r>
    </w:p>
    <w:p w:rsidR="00017A8A" w:rsidRPr="005B3304" w:rsidRDefault="005E0D0A" w:rsidP="00E12B47">
      <w:pPr>
        <w:spacing w:before="6" w:after="0" w:line="480" w:lineRule="auto"/>
        <w:ind w:left="720" w:firstLine="720"/>
        <w:rPr>
          <w:rFonts w:ascii="Arial" w:hAnsi="Arial"/>
          <w:sz w:val="26"/>
          <w:szCs w:val="26"/>
        </w:rPr>
      </w:pPr>
      <w:r w:rsidRPr="005B3304">
        <w:rPr>
          <w:rFonts w:ascii="Arial" w:hAnsi="Arial"/>
          <w:sz w:val="26"/>
          <w:szCs w:val="26"/>
        </w:rPr>
        <w:t xml:space="preserve">The Commission’s failure to set the differential at the same rate as that charged by PG&amp;E to serve its </w:t>
      </w:r>
      <w:r w:rsidR="00513A77" w:rsidRPr="005B3304">
        <w:rPr>
          <w:rFonts w:ascii="Arial" w:hAnsi="Arial"/>
          <w:sz w:val="26"/>
          <w:szCs w:val="26"/>
        </w:rPr>
        <w:t>directly-served</w:t>
      </w:r>
      <w:r w:rsidRPr="005B3304">
        <w:rPr>
          <w:rFonts w:ascii="Arial" w:hAnsi="Arial"/>
          <w:sz w:val="26"/>
          <w:szCs w:val="26"/>
        </w:rPr>
        <w:t xml:space="preserve"> resident tenants of MHPs rests on theoretical distinctions that do not exist </w:t>
      </w:r>
      <w:r w:rsidR="00513A77" w:rsidRPr="005B3304">
        <w:rPr>
          <w:rFonts w:ascii="Arial" w:hAnsi="Arial"/>
          <w:sz w:val="26"/>
          <w:szCs w:val="26"/>
        </w:rPr>
        <w:t xml:space="preserve">in practice </w:t>
      </w:r>
      <w:r w:rsidRPr="005B3304">
        <w:rPr>
          <w:rFonts w:ascii="Arial" w:hAnsi="Arial"/>
          <w:sz w:val="26"/>
          <w:szCs w:val="26"/>
        </w:rPr>
        <w:t xml:space="preserve">or where otherwise irrelevant to the underlying proceeding leading </w:t>
      </w:r>
      <w:r w:rsidR="00017A8A" w:rsidRPr="005B3304">
        <w:rPr>
          <w:rFonts w:ascii="Arial" w:hAnsi="Arial"/>
          <w:sz w:val="26"/>
          <w:szCs w:val="26"/>
        </w:rPr>
        <w:t xml:space="preserve">to </w:t>
      </w:r>
      <w:r w:rsidRPr="005B3304">
        <w:rPr>
          <w:rFonts w:ascii="Arial" w:hAnsi="Arial"/>
          <w:sz w:val="26"/>
          <w:szCs w:val="26"/>
        </w:rPr>
        <w:t xml:space="preserve">the Commission’s </w:t>
      </w:r>
      <w:r w:rsidR="00017A8A" w:rsidRPr="005B3304">
        <w:rPr>
          <w:rFonts w:ascii="Arial" w:hAnsi="Arial"/>
          <w:sz w:val="26"/>
          <w:szCs w:val="26"/>
        </w:rPr>
        <w:t>decision on rehearing</w:t>
      </w:r>
      <w:r w:rsidRPr="005B3304">
        <w:rPr>
          <w:rFonts w:ascii="Arial" w:hAnsi="Arial"/>
          <w:sz w:val="26"/>
          <w:szCs w:val="26"/>
        </w:rPr>
        <w:t xml:space="preserve">.  </w:t>
      </w:r>
      <w:r w:rsidR="00277246">
        <w:rPr>
          <w:rFonts w:ascii="Arial" w:hAnsi="Arial"/>
          <w:sz w:val="26"/>
          <w:szCs w:val="26"/>
        </w:rPr>
        <w:t xml:space="preserve">The Commission </w:t>
      </w:r>
      <w:r w:rsidRPr="005B3304">
        <w:rPr>
          <w:rFonts w:ascii="Arial" w:hAnsi="Arial"/>
          <w:sz w:val="26"/>
          <w:szCs w:val="26"/>
        </w:rPr>
        <w:t xml:space="preserve">stated that WMA  failed to acknowledge a difference “between direct service to tenants by PG&amp;E or bulk delivery to the park owner at the </w:t>
      </w:r>
      <w:r w:rsidR="00513A77" w:rsidRPr="005B3304">
        <w:rPr>
          <w:rFonts w:ascii="Arial" w:hAnsi="Arial"/>
          <w:sz w:val="26"/>
          <w:szCs w:val="26"/>
        </w:rPr>
        <w:t>master-meter</w:t>
      </w:r>
      <w:r w:rsidRPr="005B3304">
        <w:rPr>
          <w:rFonts w:ascii="Arial" w:hAnsi="Arial"/>
          <w:b/>
          <w:sz w:val="26"/>
          <w:szCs w:val="26"/>
        </w:rPr>
        <w:t xml:space="preserve">.”  </w:t>
      </w:r>
      <w:r w:rsidR="00017A8A" w:rsidRPr="005B3304">
        <w:rPr>
          <w:rFonts w:ascii="Arial" w:hAnsi="Arial"/>
          <w:sz w:val="26"/>
          <w:szCs w:val="26"/>
        </w:rPr>
        <w:t xml:space="preserve">Decision 12-08-046 at </w:t>
      </w:r>
      <w:r w:rsidRPr="005B3304">
        <w:rPr>
          <w:rFonts w:ascii="Arial" w:hAnsi="Arial"/>
          <w:sz w:val="26"/>
          <w:szCs w:val="26"/>
        </w:rPr>
        <w:t xml:space="preserve">12.  This “difference” is both irrelevant and based upon an assumption that is not possible.  It is irrelevant because the salient comparison is between service to residential tenants of </w:t>
      </w:r>
      <w:r w:rsidR="00513A77" w:rsidRPr="005B3304">
        <w:rPr>
          <w:rFonts w:ascii="Arial" w:hAnsi="Arial"/>
          <w:sz w:val="26"/>
          <w:szCs w:val="26"/>
        </w:rPr>
        <w:t>master-meter</w:t>
      </w:r>
      <w:r w:rsidR="00017A8A" w:rsidRPr="005B3304">
        <w:rPr>
          <w:rFonts w:ascii="Arial" w:hAnsi="Arial"/>
          <w:sz w:val="26"/>
          <w:szCs w:val="26"/>
        </w:rPr>
        <w:t xml:space="preserve">ed </w:t>
      </w:r>
      <w:r w:rsidRPr="005B3304">
        <w:rPr>
          <w:rFonts w:ascii="Arial" w:hAnsi="Arial"/>
          <w:sz w:val="26"/>
          <w:szCs w:val="26"/>
        </w:rPr>
        <w:t xml:space="preserve">MHPs and PG&amp;E’s </w:t>
      </w:r>
      <w:r w:rsidR="00513A77" w:rsidRPr="005B3304">
        <w:rPr>
          <w:rFonts w:ascii="Arial" w:hAnsi="Arial"/>
          <w:sz w:val="26"/>
          <w:szCs w:val="26"/>
        </w:rPr>
        <w:t>directly-served</w:t>
      </w:r>
      <w:r w:rsidR="00017A8A" w:rsidRPr="005B3304">
        <w:rPr>
          <w:rFonts w:ascii="Arial" w:hAnsi="Arial"/>
          <w:sz w:val="26"/>
          <w:szCs w:val="26"/>
        </w:rPr>
        <w:t xml:space="preserve"> </w:t>
      </w:r>
      <w:r w:rsidRPr="005B3304">
        <w:rPr>
          <w:rFonts w:ascii="Arial" w:hAnsi="Arial"/>
          <w:sz w:val="26"/>
          <w:szCs w:val="26"/>
        </w:rPr>
        <w:t xml:space="preserve">residential tenants of MHP.  This is the comparison required by </w:t>
      </w:r>
      <w:r w:rsidR="00017A8A" w:rsidRPr="005B3304">
        <w:rPr>
          <w:rFonts w:ascii="Arial" w:hAnsi="Arial"/>
          <w:sz w:val="26"/>
          <w:szCs w:val="26"/>
        </w:rPr>
        <w:t xml:space="preserve">Section </w:t>
      </w:r>
      <w:r w:rsidRPr="005B3304">
        <w:rPr>
          <w:rFonts w:ascii="Arial" w:hAnsi="Arial"/>
          <w:sz w:val="26"/>
          <w:szCs w:val="26"/>
        </w:rPr>
        <w:t>739.5 when setting the discount to compensate owners for their expenditure</w:t>
      </w:r>
      <w:r w:rsidR="00513A77" w:rsidRPr="005B3304">
        <w:rPr>
          <w:rFonts w:ascii="Arial" w:hAnsi="Arial"/>
          <w:sz w:val="26"/>
          <w:szCs w:val="26"/>
        </w:rPr>
        <w:t>s to del</w:t>
      </w:r>
      <w:r w:rsidR="00B2283C" w:rsidRPr="005B3304">
        <w:rPr>
          <w:rFonts w:ascii="Arial" w:hAnsi="Arial"/>
          <w:sz w:val="26"/>
          <w:szCs w:val="26"/>
        </w:rPr>
        <w:t>iver service in place of PG&amp;E</w:t>
      </w:r>
      <w:r w:rsidRPr="005B3304">
        <w:rPr>
          <w:rFonts w:ascii="Arial" w:hAnsi="Arial"/>
          <w:sz w:val="26"/>
          <w:szCs w:val="26"/>
        </w:rPr>
        <w:t>.</w:t>
      </w:r>
    </w:p>
    <w:p w:rsidR="005E0D0A" w:rsidRPr="005B3304" w:rsidRDefault="005E0D0A" w:rsidP="00E12B47">
      <w:pPr>
        <w:spacing w:before="6" w:after="0" w:line="480" w:lineRule="auto"/>
        <w:ind w:left="720"/>
        <w:rPr>
          <w:rFonts w:ascii="Arial" w:hAnsi="Arial"/>
          <w:sz w:val="26"/>
          <w:szCs w:val="26"/>
        </w:rPr>
      </w:pPr>
      <w:r w:rsidRPr="005B3304">
        <w:rPr>
          <w:rFonts w:ascii="Arial" w:hAnsi="Arial"/>
          <w:sz w:val="26"/>
          <w:szCs w:val="26"/>
        </w:rPr>
        <w:t xml:space="preserve">Moreover, </w:t>
      </w:r>
      <w:r w:rsidR="00B2283C" w:rsidRPr="005B3304">
        <w:rPr>
          <w:rFonts w:ascii="Arial" w:hAnsi="Arial"/>
          <w:sz w:val="26"/>
          <w:szCs w:val="26"/>
        </w:rPr>
        <w:t>t</w:t>
      </w:r>
      <w:r w:rsidR="00017A8A" w:rsidRPr="005B3304">
        <w:rPr>
          <w:rFonts w:ascii="Arial" w:hAnsi="Arial"/>
          <w:sz w:val="26"/>
          <w:szCs w:val="26"/>
        </w:rPr>
        <w:t xml:space="preserve">he Commission’s decision </w:t>
      </w:r>
      <w:r w:rsidRPr="005B3304">
        <w:rPr>
          <w:rFonts w:ascii="Arial" w:hAnsi="Arial"/>
          <w:sz w:val="26"/>
          <w:szCs w:val="26"/>
        </w:rPr>
        <w:t xml:space="preserve">is based upon an </w:t>
      </w:r>
      <w:r w:rsidR="00017A8A" w:rsidRPr="005B3304">
        <w:rPr>
          <w:rFonts w:ascii="Arial" w:hAnsi="Arial"/>
          <w:sz w:val="26"/>
          <w:szCs w:val="26"/>
        </w:rPr>
        <w:t xml:space="preserve">erroneous </w:t>
      </w:r>
      <w:r w:rsidRPr="005B3304">
        <w:rPr>
          <w:rFonts w:ascii="Arial" w:hAnsi="Arial"/>
          <w:sz w:val="26"/>
          <w:szCs w:val="26"/>
        </w:rPr>
        <w:t xml:space="preserve">assumption that </w:t>
      </w:r>
      <w:r w:rsidR="00C63F6B">
        <w:rPr>
          <w:rFonts w:ascii="Arial" w:hAnsi="Arial"/>
          <w:sz w:val="26"/>
          <w:szCs w:val="26"/>
        </w:rPr>
        <w:t>master-metered</w:t>
      </w:r>
      <w:r w:rsidR="00017A8A" w:rsidRPr="005B3304">
        <w:rPr>
          <w:rFonts w:ascii="Arial" w:hAnsi="Arial"/>
          <w:sz w:val="26"/>
          <w:szCs w:val="26"/>
        </w:rPr>
        <w:t xml:space="preserve"> M</w:t>
      </w:r>
      <w:r w:rsidRPr="005B3304">
        <w:rPr>
          <w:rFonts w:ascii="Arial" w:hAnsi="Arial"/>
          <w:sz w:val="26"/>
          <w:szCs w:val="26"/>
        </w:rPr>
        <w:t xml:space="preserve">HPs buy “bulk power.”  </w:t>
      </w:r>
      <w:r w:rsidR="00017A8A" w:rsidRPr="005B3304">
        <w:rPr>
          <w:rFonts w:ascii="Arial" w:hAnsi="Arial"/>
          <w:sz w:val="26"/>
          <w:szCs w:val="26"/>
        </w:rPr>
        <w:t xml:space="preserve">To the contrary, </w:t>
      </w:r>
      <w:r w:rsidR="00C63F6B">
        <w:rPr>
          <w:rFonts w:ascii="Arial" w:hAnsi="Arial"/>
          <w:sz w:val="26"/>
          <w:szCs w:val="26"/>
        </w:rPr>
        <w:t>master-metered</w:t>
      </w:r>
      <w:r w:rsidR="00017A8A" w:rsidRPr="005B3304">
        <w:rPr>
          <w:rFonts w:ascii="Arial" w:hAnsi="Arial"/>
          <w:sz w:val="26"/>
          <w:szCs w:val="26"/>
        </w:rPr>
        <w:t xml:space="preserve"> </w:t>
      </w:r>
      <w:r w:rsidRPr="005B3304">
        <w:rPr>
          <w:rFonts w:ascii="Arial" w:hAnsi="Arial"/>
          <w:sz w:val="26"/>
          <w:szCs w:val="26"/>
        </w:rPr>
        <w:t xml:space="preserve">MHP owners purchase </w:t>
      </w:r>
      <w:r w:rsidR="007B2B94" w:rsidRPr="005B3304">
        <w:rPr>
          <w:rFonts w:ascii="Arial" w:hAnsi="Arial"/>
          <w:sz w:val="26"/>
          <w:szCs w:val="26"/>
        </w:rPr>
        <w:t>residential</w:t>
      </w:r>
      <w:r w:rsidRPr="005B3304">
        <w:rPr>
          <w:rFonts w:ascii="Arial" w:hAnsi="Arial"/>
          <w:sz w:val="26"/>
          <w:szCs w:val="26"/>
        </w:rPr>
        <w:t xml:space="preserve"> </w:t>
      </w:r>
      <w:r w:rsidR="00277246">
        <w:rPr>
          <w:rFonts w:ascii="Arial" w:hAnsi="Arial"/>
          <w:sz w:val="26"/>
          <w:szCs w:val="26"/>
        </w:rPr>
        <w:t xml:space="preserve">electricity at the full </w:t>
      </w:r>
      <w:r w:rsidRPr="005B3304">
        <w:rPr>
          <w:rFonts w:ascii="Arial" w:hAnsi="Arial"/>
          <w:sz w:val="26"/>
          <w:szCs w:val="26"/>
        </w:rPr>
        <w:t xml:space="preserve">bundled </w:t>
      </w:r>
      <w:r w:rsidR="00277246">
        <w:rPr>
          <w:rFonts w:ascii="Arial" w:hAnsi="Arial"/>
          <w:sz w:val="26"/>
          <w:szCs w:val="26"/>
        </w:rPr>
        <w:t>rate</w:t>
      </w:r>
      <w:r w:rsidRPr="005B3304">
        <w:rPr>
          <w:rFonts w:ascii="Arial" w:hAnsi="Arial"/>
          <w:sz w:val="26"/>
          <w:szCs w:val="26"/>
        </w:rPr>
        <w:t xml:space="preserve"> from PG&amp;E as a </w:t>
      </w:r>
      <w:r w:rsidR="007B2B94" w:rsidRPr="005B3304">
        <w:rPr>
          <w:rFonts w:ascii="Arial" w:hAnsi="Arial"/>
          <w:sz w:val="26"/>
          <w:szCs w:val="26"/>
        </w:rPr>
        <w:t>residential</w:t>
      </w:r>
      <w:r w:rsidRPr="005B3304">
        <w:rPr>
          <w:rFonts w:ascii="Arial" w:hAnsi="Arial"/>
          <w:sz w:val="26"/>
          <w:szCs w:val="26"/>
        </w:rPr>
        <w:t xml:space="preserve">, end-use customer for use on private property.  This is wholly distinct from a public utility or other load serving entity that purchases wholesale “bulk power.”  Most important for this case, </w:t>
      </w:r>
      <w:r w:rsidR="00C63F6B">
        <w:rPr>
          <w:rFonts w:ascii="Arial" w:hAnsi="Arial"/>
          <w:sz w:val="26"/>
          <w:szCs w:val="26"/>
        </w:rPr>
        <w:t>master-metered</w:t>
      </w:r>
      <w:r w:rsidR="00017A8A" w:rsidRPr="005B3304">
        <w:rPr>
          <w:rFonts w:ascii="Arial" w:hAnsi="Arial"/>
          <w:sz w:val="26"/>
          <w:szCs w:val="26"/>
        </w:rPr>
        <w:t xml:space="preserve"> M</w:t>
      </w:r>
      <w:r w:rsidRPr="005B3304">
        <w:rPr>
          <w:rFonts w:ascii="Arial" w:hAnsi="Arial"/>
          <w:sz w:val="26"/>
          <w:szCs w:val="26"/>
        </w:rPr>
        <w:t>HP owners do not pay wholesale commodity rates for electricity.</w:t>
      </w:r>
      <w:r w:rsidR="00000A69" w:rsidRPr="005B3304">
        <w:rPr>
          <w:rStyle w:val="FootnoteReference"/>
          <w:rFonts w:ascii="Arial" w:hAnsi="Arial"/>
          <w:sz w:val="26"/>
          <w:szCs w:val="26"/>
        </w:rPr>
        <w:footnoteReference w:id="3"/>
      </w:r>
      <w:r w:rsidRPr="005B3304">
        <w:rPr>
          <w:rFonts w:ascii="Arial" w:hAnsi="Arial"/>
          <w:sz w:val="26"/>
          <w:szCs w:val="26"/>
        </w:rPr>
        <w:t xml:space="preserve">  </w:t>
      </w:r>
      <w:r w:rsidR="00217243" w:rsidRPr="005B3304">
        <w:rPr>
          <w:rFonts w:ascii="Arial" w:hAnsi="Arial"/>
          <w:sz w:val="26"/>
          <w:szCs w:val="26"/>
        </w:rPr>
        <w:t xml:space="preserve">MHP owners buy electricity at the residential rate.  </w:t>
      </w:r>
      <w:r w:rsidRPr="005B3304">
        <w:rPr>
          <w:rFonts w:ascii="Arial" w:hAnsi="Arial"/>
          <w:sz w:val="26"/>
          <w:szCs w:val="26"/>
        </w:rPr>
        <w:t>Therefore, the word “bulk power” as used by the Commission to create a distinction to justify a rate differential is entirely meaningless.</w:t>
      </w:r>
    </w:p>
    <w:p w:rsidR="005E0D0A" w:rsidRPr="005B3304" w:rsidRDefault="00277246" w:rsidP="00E12B47">
      <w:pPr>
        <w:spacing w:before="6" w:after="0" w:line="480" w:lineRule="auto"/>
        <w:ind w:left="720" w:firstLine="720"/>
        <w:rPr>
          <w:rFonts w:ascii="Arial" w:hAnsi="Arial"/>
          <w:sz w:val="26"/>
          <w:szCs w:val="26"/>
        </w:rPr>
      </w:pPr>
      <w:r>
        <w:rPr>
          <w:rFonts w:ascii="Arial" w:hAnsi="Arial"/>
          <w:sz w:val="26"/>
          <w:szCs w:val="26"/>
        </w:rPr>
        <w:t>To be clear, t</w:t>
      </w:r>
      <w:r w:rsidR="005E0D0A" w:rsidRPr="005B3304">
        <w:rPr>
          <w:rFonts w:ascii="Arial" w:hAnsi="Arial"/>
          <w:sz w:val="26"/>
          <w:szCs w:val="26"/>
        </w:rPr>
        <w:t xml:space="preserve">he owner at the </w:t>
      </w:r>
      <w:r w:rsidR="00513A77" w:rsidRPr="005B3304">
        <w:rPr>
          <w:rFonts w:ascii="Arial" w:hAnsi="Arial"/>
          <w:sz w:val="26"/>
          <w:szCs w:val="26"/>
        </w:rPr>
        <w:t>master-meter</w:t>
      </w:r>
      <w:r w:rsidR="005E0D0A" w:rsidRPr="005B3304">
        <w:rPr>
          <w:rFonts w:ascii="Arial" w:hAnsi="Arial"/>
          <w:sz w:val="26"/>
          <w:szCs w:val="26"/>
        </w:rPr>
        <w:t xml:space="preserve"> is not “buying in bulk” but rather buying at the same rate the residential customer would pay if </w:t>
      </w:r>
      <w:r w:rsidR="00513A77" w:rsidRPr="005B3304">
        <w:rPr>
          <w:rFonts w:ascii="Arial" w:hAnsi="Arial"/>
          <w:sz w:val="26"/>
          <w:szCs w:val="26"/>
        </w:rPr>
        <w:t>directly-served</w:t>
      </w:r>
      <w:r w:rsidR="005E0D0A" w:rsidRPr="005B3304">
        <w:rPr>
          <w:rFonts w:ascii="Arial" w:hAnsi="Arial"/>
          <w:sz w:val="26"/>
          <w:szCs w:val="26"/>
        </w:rPr>
        <w:t xml:space="preserve"> and then taking a credit for providing the service that PG&amp;E is not providing.  By failing to properly set the discount, the Commission is therefore transferring revenues from the </w:t>
      </w:r>
      <w:r w:rsidR="00C63F6B">
        <w:rPr>
          <w:rFonts w:ascii="Arial" w:hAnsi="Arial"/>
          <w:sz w:val="26"/>
          <w:szCs w:val="26"/>
        </w:rPr>
        <w:t>master-metered</w:t>
      </w:r>
      <w:r w:rsidR="00342807" w:rsidRPr="005B3304">
        <w:rPr>
          <w:rFonts w:ascii="Arial" w:hAnsi="Arial"/>
          <w:sz w:val="26"/>
          <w:szCs w:val="26"/>
        </w:rPr>
        <w:t xml:space="preserve"> </w:t>
      </w:r>
      <w:r w:rsidR="005E0D0A" w:rsidRPr="005B3304">
        <w:rPr>
          <w:rFonts w:ascii="Arial" w:hAnsi="Arial"/>
          <w:sz w:val="26"/>
          <w:szCs w:val="26"/>
        </w:rPr>
        <w:t xml:space="preserve">MHP </w:t>
      </w:r>
      <w:r w:rsidR="00342807" w:rsidRPr="005B3304">
        <w:rPr>
          <w:rFonts w:ascii="Arial" w:hAnsi="Arial"/>
          <w:sz w:val="26"/>
          <w:szCs w:val="26"/>
        </w:rPr>
        <w:t xml:space="preserve">owner </w:t>
      </w:r>
      <w:r w:rsidR="005E0D0A" w:rsidRPr="005B3304">
        <w:rPr>
          <w:rFonts w:ascii="Arial" w:hAnsi="Arial"/>
          <w:sz w:val="26"/>
          <w:szCs w:val="26"/>
        </w:rPr>
        <w:t xml:space="preserve">to PG&amp;E for services PG&amp;E does not provide.  Contrary to the Commission’s statement that “WMA also fails to acknowledge that the rate calculation for “one set of MHPs” is required by statute to rely on PG&amp;E’s cost of providing “comparable services” </w:t>
      </w:r>
      <w:r>
        <w:rPr>
          <w:rFonts w:ascii="Arial" w:hAnsi="Arial"/>
          <w:sz w:val="26"/>
          <w:szCs w:val="26"/>
        </w:rPr>
        <w:t>(</w:t>
      </w:r>
      <w:r w:rsidR="00342807" w:rsidRPr="005B3304">
        <w:rPr>
          <w:rFonts w:ascii="Arial" w:hAnsi="Arial"/>
          <w:sz w:val="26"/>
          <w:szCs w:val="26"/>
        </w:rPr>
        <w:t xml:space="preserve">Decision 12-08-046 </w:t>
      </w:r>
      <w:r w:rsidR="005E0D0A" w:rsidRPr="005B3304">
        <w:rPr>
          <w:rFonts w:ascii="Arial" w:hAnsi="Arial"/>
          <w:sz w:val="26"/>
          <w:szCs w:val="26"/>
        </w:rPr>
        <w:t>at 12</w:t>
      </w:r>
      <w:r>
        <w:rPr>
          <w:rFonts w:ascii="Arial" w:hAnsi="Arial"/>
          <w:sz w:val="26"/>
          <w:szCs w:val="26"/>
        </w:rPr>
        <w:t xml:space="preserve">), </w:t>
      </w:r>
      <w:r w:rsidR="005E0D0A" w:rsidRPr="005B3304">
        <w:rPr>
          <w:rFonts w:ascii="Arial" w:hAnsi="Arial"/>
          <w:sz w:val="26"/>
          <w:szCs w:val="26"/>
        </w:rPr>
        <w:t>WMA is in fact attempting to have the Commission do just that</w:t>
      </w:r>
      <w:r w:rsidR="00B2283C" w:rsidRPr="005B3304">
        <w:rPr>
          <w:rFonts w:ascii="Arial" w:hAnsi="Arial"/>
          <w:sz w:val="26"/>
          <w:szCs w:val="26"/>
        </w:rPr>
        <w:t xml:space="preserve"> —base the calculation on the rate that directly-served MHP tenants pay to PG&amp;E and not on a fictional rate that is paid by no other customers in PG&amp;E’s system.  </w:t>
      </w:r>
      <w:r w:rsidR="005E0D0A" w:rsidRPr="005B3304">
        <w:rPr>
          <w:rFonts w:ascii="Arial" w:hAnsi="Arial"/>
          <w:sz w:val="26"/>
          <w:szCs w:val="26"/>
        </w:rPr>
        <w:t xml:space="preserve">WMA requested that the Commission use the same rate for comparable services when a </w:t>
      </w:r>
      <w:r w:rsidR="00C63F6B">
        <w:rPr>
          <w:rFonts w:ascii="Arial" w:hAnsi="Arial"/>
          <w:sz w:val="26"/>
          <w:szCs w:val="26"/>
        </w:rPr>
        <w:t>master-metered</w:t>
      </w:r>
      <w:r w:rsidR="00342807" w:rsidRPr="005B3304">
        <w:rPr>
          <w:rFonts w:ascii="Arial" w:hAnsi="Arial"/>
          <w:sz w:val="26"/>
          <w:szCs w:val="26"/>
        </w:rPr>
        <w:t xml:space="preserve"> </w:t>
      </w:r>
      <w:r w:rsidR="005E0D0A" w:rsidRPr="005B3304">
        <w:rPr>
          <w:rFonts w:ascii="Arial" w:hAnsi="Arial"/>
          <w:sz w:val="26"/>
          <w:szCs w:val="26"/>
        </w:rPr>
        <w:t>MHP owner is providing the service as PG&amp;E would use if it provided the service.</w:t>
      </w:r>
    </w:p>
    <w:p w:rsidR="005E0D0A" w:rsidRPr="005B3304" w:rsidRDefault="005E0D0A" w:rsidP="00E12B47">
      <w:pPr>
        <w:spacing w:before="6" w:after="0" w:line="480" w:lineRule="auto"/>
        <w:ind w:left="720" w:firstLine="720"/>
        <w:rPr>
          <w:rFonts w:ascii="Arial" w:hAnsi="Arial"/>
          <w:sz w:val="26"/>
          <w:szCs w:val="26"/>
        </w:rPr>
      </w:pPr>
      <w:r w:rsidRPr="005B3304">
        <w:rPr>
          <w:rFonts w:ascii="Arial" w:hAnsi="Arial"/>
          <w:sz w:val="26"/>
          <w:szCs w:val="26"/>
        </w:rPr>
        <w:t xml:space="preserve">The Commission implies that setting residential rates for the residential class as a whole is not the proper basis for setting </w:t>
      </w:r>
      <w:r w:rsidR="00277246">
        <w:rPr>
          <w:rFonts w:ascii="Arial" w:hAnsi="Arial"/>
          <w:sz w:val="26"/>
          <w:szCs w:val="26"/>
        </w:rPr>
        <w:t xml:space="preserve">the </w:t>
      </w:r>
      <w:r w:rsidR="00C63F6B">
        <w:rPr>
          <w:rFonts w:ascii="Arial" w:hAnsi="Arial"/>
          <w:sz w:val="26"/>
          <w:szCs w:val="26"/>
        </w:rPr>
        <w:t>master-metered</w:t>
      </w:r>
      <w:r w:rsidR="00342807" w:rsidRPr="005B3304">
        <w:rPr>
          <w:rFonts w:ascii="Arial" w:hAnsi="Arial"/>
          <w:sz w:val="26"/>
          <w:szCs w:val="26"/>
        </w:rPr>
        <w:t xml:space="preserve"> </w:t>
      </w:r>
      <w:r w:rsidRPr="005B3304">
        <w:rPr>
          <w:rFonts w:ascii="Arial" w:hAnsi="Arial"/>
          <w:sz w:val="26"/>
          <w:szCs w:val="26"/>
        </w:rPr>
        <w:t xml:space="preserve">MHP differential because those rates are set in proceedings that “respond to policy considerations that apply to the residential customer class as a whole.”  This is a distinction without a difference since resident tenants of MHPs are residential customers.  No policy considerations are identified </w:t>
      </w:r>
      <w:r w:rsidR="00B2283C" w:rsidRPr="005B3304">
        <w:rPr>
          <w:rFonts w:ascii="Arial" w:hAnsi="Arial"/>
          <w:sz w:val="26"/>
          <w:szCs w:val="26"/>
        </w:rPr>
        <w:t xml:space="preserve">by the Commission in these two decisions that differ </w:t>
      </w:r>
      <w:r w:rsidRPr="005B3304">
        <w:rPr>
          <w:rFonts w:ascii="Arial" w:hAnsi="Arial"/>
          <w:sz w:val="26"/>
          <w:szCs w:val="26"/>
        </w:rPr>
        <w:t xml:space="preserve">between residents of </w:t>
      </w:r>
      <w:r w:rsidR="00513A77" w:rsidRPr="005B3304">
        <w:rPr>
          <w:rFonts w:ascii="Arial" w:hAnsi="Arial"/>
          <w:sz w:val="26"/>
          <w:szCs w:val="26"/>
        </w:rPr>
        <w:t>directly-served</w:t>
      </w:r>
      <w:r w:rsidRPr="005B3304">
        <w:rPr>
          <w:rFonts w:ascii="Arial" w:hAnsi="Arial"/>
          <w:sz w:val="26"/>
          <w:szCs w:val="26"/>
        </w:rPr>
        <w:t xml:space="preserve"> MHPs and residents of </w:t>
      </w:r>
      <w:r w:rsidR="00513A77" w:rsidRPr="005B3304">
        <w:rPr>
          <w:rFonts w:ascii="Arial" w:hAnsi="Arial"/>
          <w:sz w:val="26"/>
          <w:szCs w:val="26"/>
        </w:rPr>
        <w:t>master-meter</w:t>
      </w:r>
      <w:r w:rsidR="00342807" w:rsidRPr="005B3304">
        <w:rPr>
          <w:rFonts w:ascii="Arial" w:hAnsi="Arial"/>
          <w:sz w:val="26"/>
          <w:szCs w:val="26"/>
        </w:rPr>
        <w:t xml:space="preserve">ed </w:t>
      </w:r>
      <w:r w:rsidRPr="005B3304">
        <w:rPr>
          <w:rFonts w:ascii="Arial" w:hAnsi="Arial"/>
          <w:sz w:val="26"/>
          <w:szCs w:val="26"/>
        </w:rPr>
        <w:t>MHPs</w:t>
      </w:r>
      <w:r w:rsidR="00B2283C" w:rsidRPr="005B3304">
        <w:rPr>
          <w:rFonts w:ascii="Arial" w:hAnsi="Arial"/>
          <w:sz w:val="26"/>
          <w:szCs w:val="26"/>
        </w:rPr>
        <w:t xml:space="preserve"> relevant to setting the discount</w:t>
      </w:r>
      <w:r w:rsidRPr="005B3304">
        <w:rPr>
          <w:rFonts w:ascii="Arial" w:hAnsi="Arial"/>
          <w:sz w:val="26"/>
          <w:szCs w:val="26"/>
        </w:rPr>
        <w:t>.</w:t>
      </w:r>
    </w:p>
    <w:p w:rsidR="005E0D0A" w:rsidRPr="005B3304" w:rsidRDefault="005E0D0A" w:rsidP="00E12B47">
      <w:pPr>
        <w:spacing w:before="6" w:after="0" w:line="480" w:lineRule="auto"/>
        <w:ind w:left="720" w:firstLine="720"/>
        <w:rPr>
          <w:rFonts w:ascii="Arial" w:hAnsi="Arial"/>
          <w:sz w:val="26"/>
          <w:szCs w:val="26"/>
        </w:rPr>
      </w:pPr>
      <w:r w:rsidRPr="005B3304">
        <w:rPr>
          <w:rFonts w:ascii="Arial" w:hAnsi="Arial"/>
          <w:sz w:val="26"/>
          <w:szCs w:val="26"/>
        </w:rPr>
        <w:t xml:space="preserve">The Commission’s </w:t>
      </w:r>
      <w:r w:rsidR="008F438E" w:rsidRPr="005B3304">
        <w:rPr>
          <w:rFonts w:ascii="Arial" w:hAnsi="Arial"/>
          <w:sz w:val="26"/>
          <w:szCs w:val="26"/>
        </w:rPr>
        <w:t>decision</w:t>
      </w:r>
      <w:r w:rsidRPr="005B3304">
        <w:rPr>
          <w:rFonts w:ascii="Arial" w:hAnsi="Arial"/>
          <w:sz w:val="26"/>
          <w:szCs w:val="26"/>
        </w:rPr>
        <w:t xml:space="preserve"> argues that this principle is “without regard to what type of customer is buying that electricity or what facilities are used.”  </w:t>
      </w:r>
      <w:r w:rsidR="007F5967" w:rsidRPr="005B3304">
        <w:rPr>
          <w:rFonts w:ascii="Arial" w:hAnsi="Arial"/>
          <w:sz w:val="26"/>
          <w:szCs w:val="26"/>
        </w:rPr>
        <w:t>Decision 12-08-046</w:t>
      </w:r>
      <w:r w:rsidRPr="005B3304">
        <w:rPr>
          <w:rFonts w:ascii="Arial" w:hAnsi="Arial"/>
          <w:sz w:val="26"/>
          <w:szCs w:val="26"/>
        </w:rPr>
        <w:t xml:space="preserve"> at 12. </w:t>
      </w:r>
      <w:r w:rsidR="00217243" w:rsidRPr="005B3304">
        <w:rPr>
          <w:rFonts w:ascii="Arial" w:hAnsi="Arial"/>
          <w:sz w:val="26"/>
          <w:szCs w:val="26"/>
        </w:rPr>
        <w:t xml:space="preserve"> </w:t>
      </w:r>
      <w:r w:rsidRPr="005B3304">
        <w:rPr>
          <w:rFonts w:ascii="Arial" w:hAnsi="Arial"/>
          <w:sz w:val="26"/>
          <w:szCs w:val="26"/>
        </w:rPr>
        <w:t xml:space="preserve">However, there was no showing that the </w:t>
      </w:r>
      <w:r w:rsidR="00C63F6B">
        <w:rPr>
          <w:rFonts w:ascii="Arial" w:hAnsi="Arial"/>
          <w:sz w:val="26"/>
          <w:szCs w:val="26"/>
        </w:rPr>
        <w:t>master-metered</w:t>
      </w:r>
      <w:r w:rsidR="00D57918" w:rsidRPr="005B3304">
        <w:rPr>
          <w:rFonts w:ascii="Arial" w:hAnsi="Arial"/>
          <w:sz w:val="26"/>
          <w:szCs w:val="26"/>
        </w:rPr>
        <w:t xml:space="preserve"> </w:t>
      </w:r>
      <w:r w:rsidRPr="005B3304">
        <w:rPr>
          <w:rFonts w:ascii="Arial" w:hAnsi="Arial"/>
          <w:sz w:val="26"/>
          <w:szCs w:val="26"/>
        </w:rPr>
        <w:t xml:space="preserve">MHP residents in its service territory are different than its </w:t>
      </w:r>
      <w:r w:rsidR="00513A77" w:rsidRPr="005B3304">
        <w:rPr>
          <w:rFonts w:ascii="Arial" w:hAnsi="Arial"/>
          <w:sz w:val="26"/>
          <w:szCs w:val="26"/>
        </w:rPr>
        <w:t>directly-served</w:t>
      </w:r>
      <w:r w:rsidRPr="005B3304">
        <w:rPr>
          <w:rFonts w:ascii="Arial" w:hAnsi="Arial"/>
          <w:sz w:val="26"/>
          <w:szCs w:val="26"/>
        </w:rPr>
        <w:t xml:space="preserve"> MHP resident customers.  </w:t>
      </w:r>
      <w:r w:rsidR="008F438E" w:rsidRPr="005B3304">
        <w:rPr>
          <w:rFonts w:ascii="Arial" w:hAnsi="Arial"/>
          <w:sz w:val="26"/>
          <w:szCs w:val="26"/>
        </w:rPr>
        <w:t xml:space="preserve">In fact, there was no showing anywhere in the record that compared </w:t>
      </w:r>
      <w:r w:rsidR="00C63F6B">
        <w:rPr>
          <w:rFonts w:ascii="Arial" w:hAnsi="Arial"/>
          <w:sz w:val="26"/>
          <w:szCs w:val="26"/>
        </w:rPr>
        <w:t>master-metered</w:t>
      </w:r>
      <w:r w:rsidR="00D57918" w:rsidRPr="005B3304">
        <w:rPr>
          <w:rFonts w:ascii="Arial" w:hAnsi="Arial"/>
          <w:sz w:val="26"/>
          <w:szCs w:val="26"/>
        </w:rPr>
        <w:t xml:space="preserve"> </w:t>
      </w:r>
      <w:r w:rsidR="008F438E" w:rsidRPr="005B3304">
        <w:rPr>
          <w:rFonts w:ascii="Arial" w:hAnsi="Arial"/>
          <w:sz w:val="26"/>
          <w:szCs w:val="26"/>
        </w:rPr>
        <w:t xml:space="preserve">MHP resident customers to </w:t>
      </w:r>
      <w:r w:rsidR="00513A77" w:rsidRPr="005B3304">
        <w:rPr>
          <w:rFonts w:ascii="Arial" w:hAnsi="Arial"/>
          <w:sz w:val="26"/>
          <w:szCs w:val="26"/>
        </w:rPr>
        <w:t>directly-served</w:t>
      </w:r>
      <w:r w:rsidR="008F438E" w:rsidRPr="005B3304">
        <w:rPr>
          <w:rFonts w:ascii="Arial" w:hAnsi="Arial"/>
          <w:sz w:val="26"/>
          <w:szCs w:val="26"/>
        </w:rPr>
        <w:t xml:space="preserve"> MHP customers.  </w:t>
      </w:r>
      <w:r w:rsidRPr="005B3304">
        <w:rPr>
          <w:rFonts w:ascii="Arial" w:hAnsi="Arial"/>
          <w:sz w:val="26"/>
          <w:szCs w:val="26"/>
        </w:rPr>
        <w:t>Differences in facilities are likewise irrelevant because the only relevant facilities are those used by the utility to serve MHP residents directly.  The average cost of so doing is exactly what PG&amp;E</w:t>
      </w:r>
      <w:r w:rsidR="00F033F1" w:rsidRPr="005B3304">
        <w:rPr>
          <w:rFonts w:ascii="Arial" w:hAnsi="Arial"/>
          <w:sz w:val="26"/>
          <w:szCs w:val="26"/>
        </w:rPr>
        <w:t xml:space="preserve">’s residential rate represents and should be the basis for the calculation of the discount.  Accordingly, the Writ of </w:t>
      </w:r>
      <w:r w:rsidR="007B2B94" w:rsidRPr="005B3304">
        <w:rPr>
          <w:rFonts w:ascii="Arial" w:hAnsi="Arial"/>
          <w:sz w:val="26"/>
          <w:szCs w:val="26"/>
        </w:rPr>
        <w:t>Review</w:t>
      </w:r>
      <w:r w:rsidR="00F033F1" w:rsidRPr="005B3304">
        <w:rPr>
          <w:rFonts w:ascii="Arial" w:hAnsi="Arial"/>
          <w:sz w:val="26"/>
          <w:szCs w:val="26"/>
        </w:rPr>
        <w:t xml:space="preserve"> should issue.</w:t>
      </w:r>
    </w:p>
    <w:p w:rsidR="00F033F1" w:rsidRPr="005B3304" w:rsidRDefault="00F033F1" w:rsidP="00277246">
      <w:pPr>
        <w:spacing w:after="0" w:line="240" w:lineRule="auto"/>
        <w:ind w:left="2160" w:hanging="720"/>
        <w:rPr>
          <w:rFonts w:ascii="Arial" w:hAnsi="Arial"/>
          <w:b/>
          <w:sz w:val="26"/>
          <w:szCs w:val="26"/>
        </w:rPr>
      </w:pPr>
      <w:r w:rsidRPr="005B3304">
        <w:rPr>
          <w:rFonts w:ascii="Arial" w:hAnsi="Arial"/>
          <w:b/>
          <w:sz w:val="26"/>
          <w:szCs w:val="26"/>
        </w:rPr>
        <w:t>C.</w:t>
      </w:r>
      <w:r w:rsidRPr="005B3304">
        <w:rPr>
          <w:rFonts w:ascii="Arial" w:hAnsi="Arial"/>
          <w:b/>
          <w:sz w:val="26"/>
          <w:szCs w:val="26"/>
        </w:rPr>
        <w:tab/>
        <w:t xml:space="preserve">The Commission Denied </w:t>
      </w:r>
      <w:r w:rsidR="00513A77" w:rsidRPr="005B3304">
        <w:rPr>
          <w:rFonts w:ascii="Arial" w:hAnsi="Arial"/>
          <w:b/>
          <w:sz w:val="26"/>
          <w:szCs w:val="26"/>
        </w:rPr>
        <w:t>Master-</w:t>
      </w:r>
      <w:r w:rsidR="00277246">
        <w:rPr>
          <w:rFonts w:ascii="Arial" w:hAnsi="Arial"/>
          <w:b/>
          <w:sz w:val="26"/>
          <w:szCs w:val="26"/>
        </w:rPr>
        <w:t>M</w:t>
      </w:r>
      <w:r w:rsidR="00513A77" w:rsidRPr="005B3304">
        <w:rPr>
          <w:rFonts w:ascii="Arial" w:hAnsi="Arial"/>
          <w:b/>
          <w:sz w:val="26"/>
          <w:szCs w:val="26"/>
        </w:rPr>
        <w:t>eter</w:t>
      </w:r>
      <w:r w:rsidRPr="005B3304">
        <w:rPr>
          <w:rFonts w:ascii="Arial" w:hAnsi="Arial"/>
          <w:b/>
          <w:sz w:val="26"/>
          <w:szCs w:val="26"/>
        </w:rPr>
        <w:t xml:space="preserve">ed MHP Owners Equal Protection When It Failed To Consider The Adverse Economic Impact On </w:t>
      </w:r>
      <w:r w:rsidR="00513A77" w:rsidRPr="005B3304">
        <w:rPr>
          <w:rFonts w:ascii="Arial" w:hAnsi="Arial"/>
          <w:b/>
          <w:sz w:val="26"/>
          <w:szCs w:val="26"/>
        </w:rPr>
        <w:t>Master-</w:t>
      </w:r>
      <w:r w:rsidR="00C63F6B">
        <w:rPr>
          <w:rFonts w:ascii="Arial" w:hAnsi="Arial"/>
          <w:b/>
          <w:sz w:val="26"/>
          <w:szCs w:val="26"/>
        </w:rPr>
        <w:t>M</w:t>
      </w:r>
      <w:r w:rsidR="00513A77" w:rsidRPr="005B3304">
        <w:rPr>
          <w:rFonts w:ascii="Arial" w:hAnsi="Arial"/>
          <w:b/>
          <w:sz w:val="26"/>
          <w:szCs w:val="26"/>
        </w:rPr>
        <w:t>eter</w:t>
      </w:r>
      <w:r w:rsidRPr="005B3304">
        <w:rPr>
          <w:rFonts w:ascii="Arial" w:hAnsi="Arial"/>
          <w:b/>
          <w:sz w:val="26"/>
          <w:szCs w:val="26"/>
        </w:rPr>
        <w:t xml:space="preserve">ed MHP Owners To The Advantage Of PG&amp;E In Setting The Rate For Recovery Of Costs To Serve Resident Tenants Of </w:t>
      </w:r>
      <w:r w:rsidR="00C63F6B">
        <w:rPr>
          <w:rFonts w:ascii="Arial" w:hAnsi="Arial"/>
          <w:b/>
          <w:sz w:val="26"/>
          <w:szCs w:val="26"/>
        </w:rPr>
        <w:t>Master-M</w:t>
      </w:r>
      <w:r w:rsidR="00513A77" w:rsidRPr="005B3304">
        <w:rPr>
          <w:rFonts w:ascii="Arial" w:hAnsi="Arial"/>
          <w:b/>
          <w:sz w:val="26"/>
          <w:szCs w:val="26"/>
        </w:rPr>
        <w:t>eter</w:t>
      </w:r>
      <w:r w:rsidRPr="005B3304">
        <w:rPr>
          <w:rFonts w:ascii="Arial" w:hAnsi="Arial"/>
          <w:b/>
          <w:sz w:val="26"/>
          <w:szCs w:val="26"/>
        </w:rPr>
        <w:t xml:space="preserve">ed MHPs Outside The Requirements Of </w:t>
      </w:r>
      <w:r w:rsidR="00217243" w:rsidRPr="005B3304">
        <w:rPr>
          <w:rFonts w:ascii="Arial" w:hAnsi="Arial"/>
          <w:b/>
          <w:sz w:val="26"/>
          <w:szCs w:val="26"/>
        </w:rPr>
        <w:t xml:space="preserve">Public Utilities </w:t>
      </w:r>
      <w:r w:rsidR="00217243" w:rsidRPr="005B3304">
        <w:rPr>
          <w:rFonts w:ascii="Arial" w:hAnsi="Arial" w:cs="Arial"/>
          <w:b/>
          <w:sz w:val="26"/>
          <w:szCs w:val="26"/>
        </w:rPr>
        <w:t>§</w:t>
      </w:r>
      <w:r w:rsidRPr="005B3304">
        <w:rPr>
          <w:rFonts w:ascii="Arial" w:hAnsi="Arial"/>
          <w:b/>
          <w:sz w:val="26"/>
          <w:szCs w:val="26"/>
        </w:rPr>
        <w:t>739.5</w:t>
      </w:r>
      <w:r w:rsidR="00343BE5" w:rsidRPr="005B3304">
        <w:rPr>
          <w:rFonts w:ascii="Arial" w:hAnsi="Arial"/>
          <w:b/>
          <w:sz w:val="26"/>
          <w:szCs w:val="26"/>
        </w:rPr>
        <w:t>.</w:t>
      </w:r>
    </w:p>
    <w:p w:rsidR="00343BE5" w:rsidRPr="005B3304" w:rsidRDefault="00343BE5" w:rsidP="00E12B47">
      <w:pPr>
        <w:spacing w:after="0" w:line="240" w:lineRule="auto"/>
        <w:ind w:left="720"/>
        <w:rPr>
          <w:rFonts w:ascii="Arial" w:hAnsi="Arial"/>
          <w:b/>
          <w:sz w:val="26"/>
          <w:szCs w:val="26"/>
        </w:rPr>
      </w:pPr>
    </w:p>
    <w:p w:rsidR="00BD4205" w:rsidRPr="005B3304" w:rsidRDefault="00BD4205" w:rsidP="00E12B47">
      <w:pPr>
        <w:spacing w:after="0" w:line="480" w:lineRule="auto"/>
        <w:ind w:left="720" w:firstLine="720"/>
        <w:rPr>
          <w:rFonts w:ascii="Arial" w:hAnsi="Arial"/>
          <w:sz w:val="26"/>
          <w:szCs w:val="26"/>
        </w:rPr>
      </w:pPr>
      <w:r w:rsidRPr="005B3304">
        <w:rPr>
          <w:rFonts w:ascii="Arial" w:hAnsi="Arial"/>
          <w:sz w:val="26"/>
          <w:szCs w:val="26"/>
        </w:rPr>
        <w:t>The only relevant comparison in this case is the rate that PG&amp;E charges to directly</w:t>
      </w:r>
      <w:r w:rsidR="00277246">
        <w:rPr>
          <w:rFonts w:ascii="Arial" w:hAnsi="Arial"/>
          <w:sz w:val="26"/>
          <w:szCs w:val="26"/>
        </w:rPr>
        <w:t>-metered</w:t>
      </w:r>
      <w:r w:rsidRPr="005B3304">
        <w:rPr>
          <w:rFonts w:ascii="Arial" w:hAnsi="Arial"/>
          <w:sz w:val="26"/>
          <w:szCs w:val="26"/>
        </w:rPr>
        <w:t xml:space="preserve"> residential tenants of MHP parks so that </w:t>
      </w:r>
      <w:r w:rsidR="00513A77" w:rsidRPr="005B3304">
        <w:rPr>
          <w:rFonts w:ascii="Arial" w:hAnsi="Arial"/>
          <w:sz w:val="26"/>
          <w:szCs w:val="26"/>
        </w:rPr>
        <w:t>master-meter</w:t>
      </w:r>
      <w:r w:rsidR="00343BE5" w:rsidRPr="005B3304">
        <w:rPr>
          <w:rFonts w:ascii="Arial" w:hAnsi="Arial"/>
          <w:sz w:val="26"/>
          <w:szCs w:val="26"/>
        </w:rPr>
        <w:t>ed MHP</w:t>
      </w:r>
      <w:r w:rsidRPr="005B3304">
        <w:rPr>
          <w:rFonts w:ascii="Arial" w:hAnsi="Arial"/>
          <w:sz w:val="26"/>
          <w:szCs w:val="26"/>
        </w:rPr>
        <w:t xml:space="preserve"> owners are properly compensated for providing the same service to the same class of customers, </w:t>
      </w:r>
      <w:r w:rsidR="00343BE5" w:rsidRPr="005B3304">
        <w:rPr>
          <w:rFonts w:ascii="Arial" w:hAnsi="Arial"/>
          <w:sz w:val="26"/>
          <w:szCs w:val="26"/>
        </w:rPr>
        <w:t xml:space="preserve">namely </w:t>
      </w:r>
      <w:r w:rsidR="00513A77" w:rsidRPr="005B3304">
        <w:rPr>
          <w:rFonts w:ascii="Arial" w:hAnsi="Arial"/>
          <w:sz w:val="26"/>
          <w:szCs w:val="26"/>
        </w:rPr>
        <w:t>directly-served</w:t>
      </w:r>
      <w:r w:rsidR="00343BE5" w:rsidRPr="005B3304">
        <w:rPr>
          <w:rFonts w:ascii="Arial" w:hAnsi="Arial"/>
          <w:sz w:val="26"/>
          <w:szCs w:val="26"/>
        </w:rPr>
        <w:t xml:space="preserve"> </w:t>
      </w:r>
      <w:r w:rsidRPr="005B3304">
        <w:rPr>
          <w:rFonts w:ascii="Arial" w:hAnsi="Arial"/>
          <w:sz w:val="26"/>
          <w:szCs w:val="26"/>
        </w:rPr>
        <w:t>residential tenants of MHPs.</w:t>
      </w:r>
    </w:p>
    <w:p w:rsidR="00BD4205" w:rsidRPr="005B3304" w:rsidRDefault="00BD4205" w:rsidP="00E12B47">
      <w:pPr>
        <w:spacing w:after="0" w:line="480" w:lineRule="auto"/>
        <w:ind w:left="720" w:firstLine="720"/>
        <w:rPr>
          <w:rFonts w:ascii="Arial" w:hAnsi="Arial"/>
          <w:sz w:val="26"/>
          <w:szCs w:val="26"/>
        </w:rPr>
      </w:pPr>
      <w:r w:rsidRPr="005B3304">
        <w:rPr>
          <w:rFonts w:ascii="Arial" w:hAnsi="Arial"/>
          <w:sz w:val="26"/>
          <w:szCs w:val="26"/>
        </w:rPr>
        <w:t>The charge in question is the MHP discount set in the PG&amp;E G</w:t>
      </w:r>
      <w:r w:rsidR="00343BE5" w:rsidRPr="005B3304">
        <w:rPr>
          <w:rFonts w:ascii="Arial" w:hAnsi="Arial"/>
          <w:sz w:val="26"/>
          <w:szCs w:val="26"/>
        </w:rPr>
        <w:t>eneral Rate Case (Application 1</w:t>
      </w:r>
      <w:r w:rsidR="00CC2C77" w:rsidRPr="005B3304">
        <w:rPr>
          <w:rFonts w:ascii="Arial" w:hAnsi="Arial"/>
          <w:sz w:val="26"/>
          <w:szCs w:val="26"/>
        </w:rPr>
        <w:t>0</w:t>
      </w:r>
      <w:r w:rsidR="00343BE5" w:rsidRPr="005B3304">
        <w:rPr>
          <w:rFonts w:ascii="Arial" w:hAnsi="Arial"/>
          <w:sz w:val="26"/>
          <w:szCs w:val="26"/>
        </w:rPr>
        <w:t xml:space="preserve">-03-014) </w:t>
      </w:r>
      <w:r w:rsidRPr="005B3304">
        <w:rPr>
          <w:rFonts w:ascii="Arial" w:hAnsi="Arial"/>
          <w:sz w:val="26"/>
          <w:szCs w:val="26"/>
        </w:rPr>
        <w:t xml:space="preserve"> pursuant to Public Utilities Code Section 739.5</w:t>
      </w:r>
      <w:r w:rsidR="00343BE5" w:rsidRPr="005B3304">
        <w:rPr>
          <w:rFonts w:ascii="Arial" w:hAnsi="Arial"/>
          <w:sz w:val="26"/>
          <w:szCs w:val="26"/>
        </w:rPr>
        <w:t>(a)</w:t>
      </w:r>
      <w:r w:rsidR="008F438E" w:rsidRPr="005B3304">
        <w:rPr>
          <w:rFonts w:ascii="Arial" w:hAnsi="Arial"/>
          <w:sz w:val="26"/>
          <w:szCs w:val="26"/>
        </w:rPr>
        <w:t xml:space="preserve">, </w:t>
      </w:r>
      <w:r w:rsidR="008F438E" w:rsidRPr="005B3304">
        <w:rPr>
          <w:rFonts w:ascii="Arial" w:hAnsi="Arial"/>
          <w:i/>
          <w:sz w:val="26"/>
          <w:szCs w:val="26"/>
        </w:rPr>
        <w:t>emphasis added</w:t>
      </w:r>
      <w:r w:rsidRPr="005B3304">
        <w:rPr>
          <w:rFonts w:ascii="Arial" w:hAnsi="Arial"/>
          <w:sz w:val="26"/>
          <w:szCs w:val="26"/>
        </w:rPr>
        <w:t>:</w:t>
      </w:r>
    </w:p>
    <w:p w:rsidR="00BD4205" w:rsidRPr="005B3304" w:rsidRDefault="00343BE5" w:rsidP="00E12B47">
      <w:pPr>
        <w:spacing w:after="0" w:line="240" w:lineRule="auto"/>
        <w:ind w:left="1440" w:right="720"/>
        <w:jc w:val="both"/>
        <w:rPr>
          <w:rFonts w:ascii="Arial" w:hAnsi="Arial"/>
          <w:sz w:val="26"/>
          <w:szCs w:val="26"/>
        </w:rPr>
      </w:pPr>
      <w:r w:rsidRPr="005B3304">
        <w:rPr>
          <w:rFonts w:ascii="Arial" w:hAnsi="Arial"/>
          <w:sz w:val="26"/>
          <w:szCs w:val="26"/>
        </w:rPr>
        <w:t>739.5</w:t>
      </w:r>
      <w:r w:rsidR="00BD4205" w:rsidRPr="005B3304">
        <w:rPr>
          <w:rFonts w:ascii="Arial" w:hAnsi="Arial"/>
          <w:sz w:val="26"/>
          <w:szCs w:val="26"/>
        </w:rPr>
        <w:t xml:space="preserve"> (a) The commission shall require that, whenever gas or electric service, or both, is provided by a </w:t>
      </w:r>
      <w:r w:rsidR="00BD4205" w:rsidRPr="005B3304">
        <w:rPr>
          <w:rFonts w:ascii="Arial" w:hAnsi="Arial"/>
          <w:b/>
          <w:sz w:val="26"/>
          <w:szCs w:val="26"/>
        </w:rPr>
        <w:t>master-meter</w:t>
      </w:r>
      <w:r w:rsidR="00BD4205" w:rsidRPr="005B3304">
        <w:rPr>
          <w:rFonts w:ascii="Arial" w:hAnsi="Arial"/>
          <w:sz w:val="26"/>
          <w:szCs w:val="26"/>
        </w:rPr>
        <w:t xml:space="preserve"> customer to users who are tenants of a mobilehome park, apartment building, or similar residential complex, the </w:t>
      </w:r>
      <w:r w:rsidR="00BD4205" w:rsidRPr="005B3304">
        <w:rPr>
          <w:rFonts w:ascii="Arial" w:hAnsi="Arial"/>
          <w:b/>
          <w:sz w:val="26"/>
          <w:szCs w:val="26"/>
        </w:rPr>
        <w:t>master-meter</w:t>
      </w:r>
      <w:r w:rsidR="00BD4205" w:rsidRPr="005B3304">
        <w:rPr>
          <w:rFonts w:ascii="Arial" w:hAnsi="Arial"/>
          <w:sz w:val="26"/>
          <w:szCs w:val="26"/>
        </w:rPr>
        <w:t xml:space="preserve"> customer shall charge each user of the service </w:t>
      </w:r>
      <w:r w:rsidR="00BD4205" w:rsidRPr="005B3304">
        <w:rPr>
          <w:rFonts w:ascii="Arial" w:hAnsi="Arial"/>
          <w:i/>
          <w:sz w:val="26"/>
          <w:szCs w:val="26"/>
        </w:rPr>
        <w:t>at the same rate which would be applicable if the user were receiving gas or electricity, or both, directly from the gas or electrical corporation</w:t>
      </w:r>
      <w:r w:rsidR="00BD4205" w:rsidRPr="005B3304">
        <w:rPr>
          <w:rFonts w:ascii="Arial" w:hAnsi="Arial"/>
          <w:sz w:val="26"/>
          <w:szCs w:val="26"/>
        </w:rPr>
        <w:t xml:space="preserve">.  The commission shall require the corporation furnishing service to the </w:t>
      </w:r>
      <w:r w:rsidR="00BD4205" w:rsidRPr="005B3304">
        <w:rPr>
          <w:rFonts w:ascii="Arial" w:hAnsi="Arial"/>
          <w:b/>
          <w:sz w:val="26"/>
          <w:szCs w:val="26"/>
        </w:rPr>
        <w:t>master-meter</w:t>
      </w:r>
      <w:r w:rsidR="00BD4205" w:rsidRPr="005B3304">
        <w:rPr>
          <w:rFonts w:ascii="Arial" w:hAnsi="Arial"/>
          <w:sz w:val="26"/>
          <w:szCs w:val="26"/>
        </w:rPr>
        <w:t xml:space="preserve"> customer to establish uniform rates for </w:t>
      </w:r>
      <w:r w:rsidR="00BD4205" w:rsidRPr="005B3304">
        <w:rPr>
          <w:rFonts w:ascii="Arial" w:hAnsi="Arial"/>
          <w:b/>
          <w:sz w:val="26"/>
          <w:szCs w:val="26"/>
        </w:rPr>
        <w:t>master-meter</w:t>
      </w:r>
      <w:r w:rsidR="00BD4205" w:rsidRPr="005B3304">
        <w:rPr>
          <w:rFonts w:ascii="Arial" w:hAnsi="Arial"/>
          <w:sz w:val="26"/>
          <w:szCs w:val="26"/>
        </w:rPr>
        <w:t xml:space="preserve"> service at a level which will provide a sufficient differential to cover the reasonable average costs to </w:t>
      </w:r>
      <w:r w:rsidR="00BD4205" w:rsidRPr="005B3304">
        <w:rPr>
          <w:rFonts w:ascii="Arial" w:hAnsi="Arial"/>
          <w:b/>
          <w:sz w:val="26"/>
          <w:szCs w:val="26"/>
        </w:rPr>
        <w:t>master-meter</w:t>
      </w:r>
      <w:r w:rsidR="00BD4205" w:rsidRPr="005B3304">
        <w:rPr>
          <w:rFonts w:ascii="Arial" w:hAnsi="Arial"/>
          <w:sz w:val="26"/>
          <w:szCs w:val="26"/>
        </w:rPr>
        <w:t xml:space="preserve"> customers of providing submeter service, except that </w:t>
      </w:r>
      <w:r w:rsidR="00BD4205" w:rsidRPr="005B3304">
        <w:rPr>
          <w:rFonts w:ascii="Arial" w:hAnsi="Arial"/>
          <w:i/>
          <w:sz w:val="26"/>
          <w:szCs w:val="26"/>
        </w:rPr>
        <w:t>these costs shall not exceed the average cost that the corporation would have incurred in providing comparable services directly to the users of the service</w:t>
      </w:r>
      <w:r w:rsidR="00BD4205" w:rsidRPr="005B3304">
        <w:rPr>
          <w:rFonts w:ascii="Arial" w:hAnsi="Arial"/>
          <w:sz w:val="26"/>
          <w:szCs w:val="26"/>
        </w:rPr>
        <w:t>.</w:t>
      </w:r>
    </w:p>
    <w:p w:rsidR="00BD4205" w:rsidRPr="005B3304" w:rsidRDefault="00BD4205" w:rsidP="00E12B47">
      <w:pPr>
        <w:spacing w:before="100" w:beforeAutospacing="1" w:after="0" w:line="480" w:lineRule="auto"/>
        <w:ind w:left="720" w:firstLine="720"/>
        <w:rPr>
          <w:rFonts w:ascii="Arial" w:hAnsi="Arial"/>
          <w:sz w:val="26"/>
          <w:szCs w:val="26"/>
        </w:rPr>
      </w:pPr>
      <w:r w:rsidRPr="005B3304">
        <w:rPr>
          <w:rFonts w:ascii="Arial" w:hAnsi="Arial"/>
          <w:sz w:val="26"/>
          <w:szCs w:val="26"/>
        </w:rPr>
        <w:t>The Legislature clearly stated its intent with respect to the setting the differential:</w:t>
      </w:r>
      <w:r w:rsidR="00343BE5" w:rsidRPr="005B3304">
        <w:rPr>
          <w:rFonts w:ascii="Arial" w:hAnsi="Arial"/>
          <w:sz w:val="26"/>
          <w:szCs w:val="26"/>
        </w:rPr>
        <w:t xml:space="preserve"> The legislative history of Section 739.5 (</w:t>
      </w:r>
      <w:r w:rsidRPr="005B3304">
        <w:rPr>
          <w:rFonts w:ascii="Arial" w:hAnsi="Arial"/>
          <w:sz w:val="26"/>
          <w:szCs w:val="26"/>
        </w:rPr>
        <w:t>Stats 1976 ch 923, effective September 14, 1976</w:t>
      </w:r>
      <w:r w:rsidR="00343BE5" w:rsidRPr="005B3304">
        <w:rPr>
          <w:rFonts w:ascii="Arial" w:hAnsi="Arial"/>
          <w:sz w:val="26"/>
          <w:szCs w:val="26"/>
        </w:rPr>
        <w:t xml:space="preserve">, </w:t>
      </w:r>
      <w:r w:rsidR="00343BE5" w:rsidRPr="00277246">
        <w:rPr>
          <w:rFonts w:ascii="Arial" w:hAnsi="Arial"/>
          <w:i/>
          <w:sz w:val="26"/>
          <w:szCs w:val="26"/>
        </w:rPr>
        <w:t>emphasis added</w:t>
      </w:r>
      <w:r w:rsidR="00343BE5" w:rsidRPr="005B3304">
        <w:rPr>
          <w:rFonts w:ascii="Arial" w:hAnsi="Arial"/>
          <w:sz w:val="26"/>
          <w:szCs w:val="26"/>
        </w:rPr>
        <w:t>)</w:t>
      </w:r>
      <w:r w:rsidRPr="005B3304">
        <w:rPr>
          <w:rFonts w:ascii="Arial" w:hAnsi="Arial"/>
          <w:sz w:val="26"/>
          <w:szCs w:val="26"/>
        </w:rPr>
        <w:t>, provides:</w:t>
      </w:r>
    </w:p>
    <w:p w:rsidR="00BD4205" w:rsidRPr="005B3304" w:rsidRDefault="00BD4205" w:rsidP="00E12B47">
      <w:pPr>
        <w:spacing w:after="0" w:line="240" w:lineRule="auto"/>
        <w:ind w:left="1440" w:right="720"/>
        <w:jc w:val="both"/>
        <w:rPr>
          <w:rFonts w:ascii="Arial" w:hAnsi="Arial"/>
          <w:sz w:val="26"/>
          <w:szCs w:val="26"/>
        </w:rPr>
      </w:pPr>
      <w:r w:rsidRPr="005B3304">
        <w:rPr>
          <w:rFonts w:ascii="Arial" w:hAnsi="Arial"/>
          <w:sz w:val="26"/>
          <w:szCs w:val="26"/>
        </w:rPr>
        <w:t>SECTION 1. The Legislature hereby finds and declares as follows:</w:t>
      </w:r>
    </w:p>
    <w:p w:rsidR="00BD4205" w:rsidRPr="005B3304" w:rsidRDefault="00BD4205" w:rsidP="00E12B47">
      <w:pPr>
        <w:spacing w:after="0" w:line="240" w:lineRule="auto"/>
        <w:ind w:left="1440" w:right="720"/>
        <w:jc w:val="both"/>
        <w:rPr>
          <w:rFonts w:ascii="Arial" w:hAnsi="Arial"/>
          <w:sz w:val="26"/>
          <w:szCs w:val="26"/>
        </w:rPr>
      </w:pPr>
    </w:p>
    <w:p w:rsidR="00BD4205" w:rsidRPr="005B3304" w:rsidRDefault="00BD4205" w:rsidP="00E12B47">
      <w:pPr>
        <w:spacing w:after="0" w:line="240" w:lineRule="auto"/>
        <w:ind w:left="1440" w:right="720"/>
        <w:jc w:val="both"/>
        <w:rPr>
          <w:rFonts w:ascii="Arial" w:hAnsi="Arial"/>
          <w:sz w:val="26"/>
          <w:szCs w:val="26"/>
        </w:rPr>
      </w:pPr>
      <w:r w:rsidRPr="005B3304">
        <w:rPr>
          <w:rFonts w:ascii="Arial" w:hAnsi="Arial"/>
          <w:sz w:val="26"/>
          <w:szCs w:val="26"/>
        </w:rPr>
        <w:t>(a) Increasing numbers of the state's population are residing in mobilehome parks.</w:t>
      </w:r>
    </w:p>
    <w:p w:rsidR="00BD4205" w:rsidRPr="005B3304" w:rsidRDefault="00BD4205" w:rsidP="00E12B47">
      <w:pPr>
        <w:spacing w:after="0" w:line="240" w:lineRule="auto"/>
        <w:ind w:left="1440" w:right="720"/>
        <w:jc w:val="both"/>
        <w:rPr>
          <w:rFonts w:ascii="Arial" w:hAnsi="Arial"/>
          <w:sz w:val="26"/>
          <w:szCs w:val="26"/>
        </w:rPr>
      </w:pPr>
    </w:p>
    <w:p w:rsidR="00BD4205" w:rsidRPr="005B3304" w:rsidRDefault="00BD4205" w:rsidP="00E12B47">
      <w:pPr>
        <w:spacing w:after="0" w:line="240" w:lineRule="auto"/>
        <w:ind w:left="1440" w:right="720"/>
        <w:jc w:val="both"/>
        <w:rPr>
          <w:rFonts w:ascii="Arial" w:hAnsi="Arial"/>
          <w:sz w:val="26"/>
          <w:szCs w:val="26"/>
        </w:rPr>
      </w:pPr>
      <w:r w:rsidRPr="005B3304">
        <w:rPr>
          <w:rFonts w:ascii="Arial" w:hAnsi="Arial"/>
          <w:sz w:val="26"/>
          <w:szCs w:val="26"/>
        </w:rPr>
        <w:t>(b) It is in the best interests of the state to protect such tenants by taking reasonable steps to remove conditions which would necessitate rent increases by such parks.</w:t>
      </w:r>
    </w:p>
    <w:p w:rsidR="00BD4205" w:rsidRPr="005B3304" w:rsidRDefault="00BD4205" w:rsidP="00E12B47">
      <w:pPr>
        <w:spacing w:after="0" w:line="240" w:lineRule="auto"/>
        <w:ind w:left="1440" w:right="720"/>
        <w:jc w:val="both"/>
        <w:rPr>
          <w:rFonts w:ascii="Arial" w:hAnsi="Arial"/>
          <w:sz w:val="26"/>
          <w:szCs w:val="26"/>
        </w:rPr>
      </w:pPr>
    </w:p>
    <w:p w:rsidR="00BD4205" w:rsidRPr="005B3304" w:rsidRDefault="00BD4205" w:rsidP="00E12B47">
      <w:pPr>
        <w:spacing w:after="0" w:line="240" w:lineRule="auto"/>
        <w:ind w:left="1440" w:right="720"/>
        <w:jc w:val="both"/>
        <w:rPr>
          <w:rFonts w:ascii="Arial" w:hAnsi="Arial"/>
          <w:sz w:val="26"/>
          <w:szCs w:val="26"/>
        </w:rPr>
      </w:pPr>
      <w:r w:rsidRPr="005B3304">
        <w:rPr>
          <w:rFonts w:ascii="Arial" w:hAnsi="Arial"/>
          <w:sz w:val="26"/>
          <w:szCs w:val="26"/>
        </w:rPr>
        <w:t>(c) Many mobilehome parks own and maintain distribution facilities for gas and electric service to park tenants.</w:t>
      </w:r>
    </w:p>
    <w:p w:rsidR="00BD4205" w:rsidRPr="005B3304" w:rsidRDefault="00BD4205" w:rsidP="00E12B47">
      <w:pPr>
        <w:spacing w:after="0" w:line="240" w:lineRule="auto"/>
        <w:ind w:left="1440" w:right="720"/>
        <w:jc w:val="both"/>
        <w:rPr>
          <w:rFonts w:ascii="Arial" w:hAnsi="Arial"/>
          <w:sz w:val="26"/>
          <w:szCs w:val="26"/>
        </w:rPr>
      </w:pPr>
    </w:p>
    <w:p w:rsidR="00BD4205" w:rsidRPr="005B3304" w:rsidRDefault="00BD4205" w:rsidP="00E12B47">
      <w:pPr>
        <w:spacing w:after="0" w:line="240" w:lineRule="auto"/>
        <w:ind w:left="1440" w:right="720"/>
        <w:jc w:val="both"/>
        <w:rPr>
          <w:rFonts w:ascii="Arial" w:hAnsi="Arial"/>
          <w:i/>
          <w:sz w:val="26"/>
          <w:szCs w:val="26"/>
        </w:rPr>
      </w:pPr>
      <w:r w:rsidRPr="005B3304">
        <w:rPr>
          <w:rFonts w:ascii="Arial" w:hAnsi="Arial"/>
          <w:i/>
          <w:sz w:val="26"/>
          <w:szCs w:val="26"/>
        </w:rPr>
        <w:t>(d) The California Public Utilities Commission has for many years required that parks charge for submetered gas and electric service to tenants the same rate as would be charged by the utility company if serving the tenants directly.</w:t>
      </w:r>
    </w:p>
    <w:p w:rsidR="00BD4205" w:rsidRPr="005B3304" w:rsidRDefault="00BD4205" w:rsidP="00E12B47">
      <w:pPr>
        <w:spacing w:after="0" w:line="240" w:lineRule="auto"/>
        <w:ind w:left="1440" w:right="720"/>
        <w:jc w:val="both"/>
        <w:rPr>
          <w:rFonts w:ascii="Arial" w:hAnsi="Arial"/>
          <w:sz w:val="26"/>
          <w:szCs w:val="26"/>
        </w:rPr>
      </w:pPr>
    </w:p>
    <w:p w:rsidR="00BD4205" w:rsidRPr="005B3304" w:rsidRDefault="00BD4205" w:rsidP="00E12B47">
      <w:pPr>
        <w:spacing w:after="0" w:line="240" w:lineRule="auto"/>
        <w:ind w:left="1440" w:right="720"/>
        <w:jc w:val="both"/>
        <w:rPr>
          <w:rFonts w:ascii="Arial" w:hAnsi="Arial"/>
          <w:sz w:val="26"/>
          <w:szCs w:val="26"/>
        </w:rPr>
      </w:pPr>
      <w:r w:rsidRPr="005B3304">
        <w:rPr>
          <w:rFonts w:ascii="Arial" w:hAnsi="Arial"/>
          <w:sz w:val="26"/>
          <w:szCs w:val="26"/>
        </w:rPr>
        <w:t>(e) The existing tariffs of regulated public utilities have enabled the mobilehome parks to recoup a part or all of their expenses in maintaining and operating such submetered distribution systems.</w:t>
      </w:r>
    </w:p>
    <w:p w:rsidR="00BD4205" w:rsidRPr="005B3304" w:rsidRDefault="00BD4205" w:rsidP="00E12B47">
      <w:pPr>
        <w:spacing w:after="0" w:line="240" w:lineRule="auto"/>
        <w:ind w:left="1440" w:right="720"/>
        <w:jc w:val="both"/>
        <w:rPr>
          <w:rFonts w:ascii="Arial" w:hAnsi="Arial"/>
          <w:sz w:val="26"/>
          <w:szCs w:val="26"/>
        </w:rPr>
      </w:pPr>
    </w:p>
    <w:p w:rsidR="00BD4205" w:rsidRPr="005B3304" w:rsidRDefault="00BD4205" w:rsidP="00E12B47">
      <w:pPr>
        <w:spacing w:after="0" w:line="240" w:lineRule="auto"/>
        <w:ind w:left="1440" w:right="720"/>
        <w:jc w:val="both"/>
        <w:rPr>
          <w:rFonts w:ascii="Arial" w:hAnsi="Arial"/>
          <w:i/>
          <w:sz w:val="26"/>
          <w:szCs w:val="26"/>
        </w:rPr>
      </w:pPr>
      <w:r w:rsidRPr="005B3304">
        <w:rPr>
          <w:rFonts w:ascii="Arial" w:hAnsi="Arial"/>
          <w:i/>
          <w:sz w:val="26"/>
          <w:szCs w:val="26"/>
        </w:rPr>
        <w:t>(f) The rates charged by a regulated public utility to a mobilehome park and the rate charged by such park to its tenants should provide a differential sufficient to enable the park to cover its costs of providing submetered gas and electric service.</w:t>
      </w:r>
    </w:p>
    <w:p w:rsidR="00BD4205" w:rsidRPr="005B3304" w:rsidRDefault="00BD4205" w:rsidP="00E12B47">
      <w:pPr>
        <w:spacing w:after="0" w:line="240" w:lineRule="auto"/>
        <w:ind w:left="1440" w:right="720"/>
        <w:jc w:val="both"/>
        <w:rPr>
          <w:rFonts w:ascii="Arial" w:hAnsi="Arial"/>
          <w:sz w:val="26"/>
          <w:szCs w:val="26"/>
        </w:rPr>
      </w:pPr>
    </w:p>
    <w:p w:rsidR="00BD4205" w:rsidRPr="005B3304" w:rsidRDefault="00BD4205" w:rsidP="00E12B47">
      <w:pPr>
        <w:spacing w:after="0" w:line="240" w:lineRule="auto"/>
        <w:ind w:left="1440" w:right="720"/>
        <w:jc w:val="both"/>
        <w:rPr>
          <w:rFonts w:ascii="Arial" w:hAnsi="Arial"/>
          <w:sz w:val="26"/>
          <w:szCs w:val="26"/>
        </w:rPr>
      </w:pPr>
      <w:r w:rsidRPr="005B3304">
        <w:rPr>
          <w:rFonts w:ascii="Arial" w:hAnsi="Arial"/>
          <w:sz w:val="26"/>
          <w:szCs w:val="26"/>
        </w:rPr>
        <w:t>(g) The maintenance of such differential will benefit tenants of mobilehome parks by enabling them to have the full benefit of "lifeline rates."</w:t>
      </w:r>
    </w:p>
    <w:p w:rsidR="00343BE5" w:rsidRPr="005B3304" w:rsidRDefault="00343BE5" w:rsidP="00E12B47">
      <w:pPr>
        <w:spacing w:after="0" w:line="240" w:lineRule="auto"/>
        <w:ind w:left="720"/>
        <w:jc w:val="both"/>
        <w:rPr>
          <w:rFonts w:ascii="Arial" w:hAnsi="Arial"/>
          <w:sz w:val="26"/>
          <w:szCs w:val="26"/>
        </w:rPr>
      </w:pPr>
    </w:p>
    <w:p w:rsidR="00BD4205" w:rsidRPr="005B3304" w:rsidRDefault="00BD4205" w:rsidP="00E12B47">
      <w:pPr>
        <w:spacing w:after="0" w:line="480" w:lineRule="auto"/>
        <w:ind w:left="720" w:firstLine="720"/>
        <w:rPr>
          <w:rFonts w:ascii="Arial" w:hAnsi="Arial"/>
          <w:sz w:val="26"/>
          <w:szCs w:val="26"/>
        </w:rPr>
      </w:pPr>
      <w:r w:rsidRPr="005B3304">
        <w:rPr>
          <w:rFonts w:ascii="Arial" w:hAnsi="Arial"/>
          <w:sz w:val="26"/>
          <w:szCs w:val="26"/>
        </w:rPr>
        <w:t xml:space="preserve">Thus, it is clear the only task before the Commission in setting the differential is to use the “same rate as would be charged by the utility company if serving the tenants directly.”  In this case, </w:t>
      </w:r>
      <w:r w:rsidR="00C63F6B">
        <w:rPr>
          <w:rFonts w:ascii="Arial" w:hAnsi="Arial"/>
          <w:sz w:val="26"/>
          <w:szCs w:val="26"/>
        </w:rPr>
        <w:t xml:space="preserve">that rate </w:t>
      </w:r>
      <w:r w:rsidRPr="005B3304">
        <w:rPr>
          <w:rFonts w:ascii="Arial" w:hAnsi="Arial"/>
          <w:sz w:val="26"/>
          <w:szCs w:val="26"/>
        </w:rPr>
        <w:t>is the residential rate, Schedule</w:t>
      </w:r>
      <w:r w:rsidR="00343BE5" w:rsidRPr="005B3304">
        <w:rPr>
          <w:rFonts w:ascii="Arial" w:hAnsi="Arial"/>
          <w:sz w:val="26"/>
          <w:szCs w:val="26"/>
        </w:rPr>
        <w:t xml:space="preserve"> E-1</w:t>
      </w:r>
      <w:r w:rsidRPr="005B3304">
        <w:rPr>
          <w:rFonts w:ascii="Arial" w:hAnsi="Arial"/>
          <w:sz w:val="26"/>
          <w:szCs w:val="26"/>
        </w:rPr>
        <w:t>.</w:t>
      </w:r>
      <w:r w:rsidR="00343BE5" w:rsidRPr="005B3304">
        <w:rPr>
          <w:rFonts w:ascii="Arial" w:hAnsi="Arial"/>
          <w:sz w:val="26"/>
          <w:szCs w:val="26"/>
        </w:rPr>
        <w:t xml:space="preserve">  Note that nowhere does the Legislature declare that the utility shareholders or ratepayers are to be protected </w:t>
      </w:r>
      <w:r w:rsidR="00B2283C" w:rsidRPr="005B3304">
        <w:rPr>
          <w:rFonts w:ascii="Arial" w:hAnsi="Arial"/>
          <w:sz w:val="26"/>
          <w:szCs w:val="26"/>
        </w:rPr>
        <w:t xml:space="preserve">by the Commission </w:t>
      </w:r>
      <w:r w:rsidR="00343BE5" w:rsidRPr="005B3304">
        <w:rPr>
          <w:rFonts w:ascii="Arial" w:hAnsi="Arial"/>
          <w:sz w:val="26"/>
          <w:szCs w:val="26"/>
        </w:rPr>
        <w:t>by keeping the discount as low as possible.</w:t>
      </w:r>
    </w:p>
    <w:p w:rsidR="00BD4205" w:rsidRPr="005B3304" w:rsidRDefault="00C63F6B" w:rsidP="00E12B47">
      <w:pPr>
        <w:spacing w:after="0" w:line="480" w:lineRule="auto"/>
        <w:ind w:left="720" w:firstLine="720"/>
        <w:rPr>
          <w:rFonts w:ascii="Arial" w:hAnsi="Arial"/>
          <w:sz w:val="26"/>
          <w:szCs w:val="26"/>
        </w:rPr>
      </w:pPr>
      <w:r>
        <w:rPr>
          <w:rFonts w:ascii="Arial" w:hAnsi="Arial"/>
          <w:sz w:val="26"/>
          <w:szCs w:val="26"/>
        </w:rPr>
        <w:t>Instead, t</w:t>
      </w:r>
      <w:r w:rsidR="00BD4205" w:rsidRPr="005B3304">
        <w:rPr>
          <w:rFonts w:ascii="Arial" w:hAnsi="Arial"/>
          <w:sz w:val="26"/>
          <w:szCs w:val="26"/>
        </w:rPr>
        <w:t xml:space="preserve">he Commission, improperly created, in essence a </w:t>
      </w:r>
      <w:r>
        <w:rPr>
          <w:rFonts w:ascii="Arial" w:hAnsi="Arial"/>
          <w:sz w:val="26"/>
          <w:szCs w:val="26"/>
        </w:rPr>
        <w:t xml:space="preserve">new </w:t>
      </w:r>
      <w:r w:rsidR="00BD4205" w:rsidRPr="005B3304">
        <w:rPr>
          <w:rFonts w:ascii="Arial" w:hAnsi="Arial"/>
          <w:sz w:val="26"/>
          <w:szCs w:val="26"/>
        </w:rPr>
        <w:t>“</w:t>
      </w:r>
      <w:r>
        <w:rPr>
          <w:rFonts w:ascii="Arial" w:hAnsi="Arial"/>
          <w:sz w:val="26"/>
          <w:szCs w:val="26"/>
        </w:rPr>
        <w:t>quasi-</w:t>
      </w:r>
      <w:r w:rsidR="00BD4205" w:rsidRPr="005B3304">
        <w:rPr>
          <w:rFonts w:ascii="Arial" w:hAnsi="Arial"/>
          <w:sz w:val="26"/>
          <w:szCs w:val="26"/>
        </w:rPr>
        <w:t xml:space="preserve">multi-family” rate </w:t>
      </w:r>
      <w:r w:rsidR="00343BE5" w:rsidRPr="005B3304">
        <w:rPr>
          <w:rFonts w:ascii="Arial" w:hAnsi="Arial"/>
          <w:sz w:val="26"/>
          <w:szCs w:val="26"/>
        </w:rPr>
        <w:t xml:space="preserve">that is paid by no other customer including the submetered tenants or the </w:t>
      </w:r>
      <w:r w:rsidR="00513A77" w:rsidRPr="005B3304">
        <w:rPr>
          <w:rFonts w:ascii="Arial" w:hAnsi="Arial"/>
          <w:sz w:val="26"/>
          <w:szCs w:val="26"/>
        </w:rPr>
        <w:t>directly-served</w:t>
      </w:r>
      <w:r w:rsidR="00343BE5" w:rsidRPr="005B3304">
        <w:rPr>
          <w:rFonts w:ascii="Arial" w:hAnsi="Arial"/>
          <w:sz w:val="26"/>
          <w:szCs w:val="26"/>
        </w:rPr>
        <w:t xml:space="preserve"> MHP customers</w:t>
      </w:r>
      <w:r>
        <w:rPr>
          <w:rFonts w:ascii="Arial" w:hAnsi="Arial"/>
          <w:sz w:val="26"/>
          <w:szCs w:val="26"/>
        </w:rPr>
        <w:t>. Therefore,</w:t>
      </w:r>
      <w:r w:rsidR="00343BE5" w:rsidRPr="005B3304">
        <w:rPr>
          <w:rFonts w:ascii="Arial" w:hAnsi="Arial"/>
          <w:sz w:val="26"/>
          <w:szCs w:val="26"/>
        </w:rPr>
        <w:t xml:space="preserve"> </w:t>
      </w:r>
      <w:r w:rsidR="00BD4205" w:rsidRPr="005B3304">
        <w:rPr>
          <w:rFonts w:ascii="Arial" w:hAnsi="Arial"/>
          <w:sz w:val="26"/>
          <w:szCs w:val="26"/>
        </w:rPr>
        <w:t>in setting the differential in the underlying case</w:t>
      </w:r>
      <w:r>
        <w:rPr>
          <w:rFonts w:ascii="Arial" w:hAnsi="Arial"/>
          <w:sz w:val="26"/>
          <w:szCs w:val="26"/>
        </w:rPr>
        <w:t xml:space="preserve"> in this manner</w:t>
      </w:r>
      <w:r w:rsidR="00BD4205" w:rsidRPr="005B3304">
        <w:rPr>
          <w:rFonts w:ascii="Arial" w:hAnsi="Arial"/>
          <w:sz w:val="26"/>
          <w:szCs w:val="26"/>
        </w:rPr>
        <w:t xml:space="preserve">, </w:t>
      </w:r>
      <w:r>
        <w:rPr>
          <w:rFonts w:ascii="Arial" w:hAnsi="Arial"/>
          <w:sz w:val="26"/>
          <w:szCs w:val="26"/>
        </w:rPr>
        <w:t xml:space="preserve">it </w:t>
      </w:r>
      <w:r w:rsidR="00BD4205" w:rsidRPr="005B3304">
        <w:rPr>
          <w:rFonts w:ascii="Arial" w:hAnsi="Arial"/>
          <w:sz w:val="26"/>
          <w:szCs w:val="26"/>
        </w:rPr>
        <w:t>result</w:t>
      </w:r>
      <w:r>
        <w:rPr>
          <w:rFonts w:ascii="Arial" w:hAnsi="Arial"/>
          <w:sz w:val="26"/>
          <w:szCs w:val="26"/>
        </w:rPr>
        <w:t>s</w:t>
      </w:r>
      <w:r w:rsidR="00BD4205" w:rsidRPr="005B3304">
        <w:rPr>
          <w:rFonts w:ascii="Arial" w:hAnsi="Arial"/>
          <w:sz w:val="26"/>
          <w:szCs w:val="26"/>
        </w:rPr>
        <w:t xml:space="preserve"> in an unreasonable difference in rates charged by MHP owners to their tenants and the rate MHP</w:t>
      </w:r>
      <w:r>
        <w:rPr>
          <w:rFonts w:ascii="Arial" w:hAnsi="Arial"/>
          <w:sz w:val="26"/>
          <w:szCs w:val="26"/>
        </w:rPr>
        <w:t>s</w:t>
      </w:r>
      <w:r w:rsidR="00BD4205" w:rsidRPr="005B3304">
        <w:rPr>
          <w:rFonts w:ascii="Arial" w:hAnsi="Arial"/>
          <w:sz w:val="26"/>
          <w:szCs w:val="26"/>
        </w:rPr>
        <w:t xml:space="preserve"> in turn, charge for serving those tenants.  </w:t>
      </w:r>
    </w:p>
    <w:p w:rsidR="00BD4205" w:rsidRPr="005B3304" w:rsidRDefault="00BD4205" w:rsidP="00E12B47">
      <w:pPr>
        <w:spacing w:after="0" w:line="480" w:lineRule="auto"/>
        <w:ind w:left="720" w:firstLine="720"/>
        <w:rPr>
          <w:rFonts w:ascii="Arial" w:hAnsi="Arial"/>
          <w:sz w:val="26"/>
          <w:szCs w:val="26"/>
        </w:rPr>
      </w:pPr>
      <w:r w:rsidRPr="005B3304">
        <w:rPr>
          <w:rFonts w:ascii="Arial" w:hAnsi="Arial"/>
          <w:sz w:val="26"/>
          <w:szCs w:val="26"/>
        </w:rPr>
        <w:t xml:space="preserve">As the above citation shows, Section 739.5 was intended to </w:t>
      </w:r>
      <w:r w:rsidR="00343BE5" w:rsidRPr="005B3304">
        <w:rPr>
          <w:rFonts w:ascii="Arial" w:hAnsi="Arial"/>
          <w:sz w:val="26"/>
          <w:szCs w:val="26"/>
        </w:rPr>
        <w:t>provide</w:t>
      </w:r>
      <w:r w:rsidRPr="005B3304">
        <w:rPr>
          <w:rFonts w:ascii="Arial" w:hAnsi="Arial"/>
          <w:sz w:val="26"/>
          <w:szCs w:val="26"/>
        </w:rPr>
        <w:t xml:space="preserve"> compensation to </w:t>
      </w:r>
      <w:r w:rsidR="00513A77" w:rsidRPr="005B3304">
        <w:rPr>
          <w:rFonts w:ascii="Arial" w:hAnsi="Arial"/>
          <w:sz w:val="26"/>
          <w:szCs w:val="26"/>
        </w:rPr>
        <w:t>master-meter</w:t>
      </w:r>
      <w:r w:rsidR="00343BE5" w:rsidRPr="005B3304">
        <w:rPr>
          <w:rFonts w:ascii="Arial" w:hAnsi="Arial"/>
          <w:sz w:val="26"/>
          <w:szCs w:val="26"/>
        </w:rPr>
        <w:t>ed</w:t>
      </w:r>
      <w:r w:rsidRPr="005B3304">
        <w:rPr>
          <w:rFonts w:ascii="Arial" w:hAnsi="Arial"/>
          <w:sz w:val="26"/>
          <w:szCs w:val="26"/>
        </w:rPr>
        <w:t xml:space="preserve"> MHP owners for the cost of </w:t>
      </w:r>
      <w:r w:rsidR="00343BE5" w:rsidRPr="005B3304">
        <w:rPr>
          <w:rFonts w:ascii="Arial" w:hAnsi="Arial"/>
          <w:sz w:val="26"/>
          <w:szCs w:val="26"/>
        </w:rPr>
        <w:t xml:space="preserve">delivering </w:t>
      </w:r>
      <w:r w:rsidRPr="005B3304">
        <w:rPr>
          <w:rFonts w:ascii="Arial" w:hAnsi="Arial"/>
          <w:sz w:val="26"/>
          <w:szCs w:val="26"/>
        </w:rPr>
        <w:t xml:space="preserve">electricity service thus allowing the local utility to avoid those same costs.  </w:t>
      </w:r>
      <w:r w:rsidR="001B6108" w:rsidRPr="005B3304">
        <w:rPr>
          <w:rFonts w:ascii="Arial" w:hAnsi="Arial"/>
          <w:sz w:val="26"/>
          <w:szCs w:val="26"/>
        </w:rPr>
        <w:t>In doing so, a primary purpose of the discount is that it “should provide a differential sufficient to enable the park to cover its costs of providing submetered gas and electric service.</w:t>
      </w:r>
      <w:r w:rsidR="00C63F6B">
        <w:rPr>
          <w:rFonts w:ascii="Arial" w:hAnsi="Arial"/>
          <w:sz w:val="26"/>
          <w:szCs w:val="26"/>
        </w:rPr>
        <w:t>”</w:t>
      </w:r>
      <w:r w:rsidR="001B6108" w:rsidRPr="005B3304">
        <w:rPr>
          <w:rFonts w:ascii="Arial" w:hAnsi="Arial"/>
          <w:sz w:val="26"/>
          <w:szCs w:val="26"/>
        </w:rPr>
        <w:t xml:space="preserve">  Section 739.5.  </w:t>
      </w:r>
      <w:r w:rsidRPr="005B3304">
        <w:rPr>
          <w:rFonts w:ascii="Arial" w:hAnsi="Arial"/>
          <w:sz w:val="26"/>
          <w:szCs w:val="26"/>
        </w:rPr>
        <w:t xml:space="preserve">Here, </w:t>
      </w:r>
      <w:r w:rsidR="001B6108" w:rsidRPr="005B3304">
        <w:rPr>
          <w:rFonts w:ascii="Arial" w:hAnsi="Arial"/>
          <w:sz w:val="26"/>
          <w:szCs w:val="26"/>
        </w:rPr>
        <w:t xml:space="preserve">however, </w:t>
      </w:r>
      <w:r w:rsidRPr="005B3304">
        <w:rPr>
          <w:rFonts w:ascii="Arial" w:hAnsi="Arial"/>
          <w:sz w:val="26"/>
          <w:szCs w:val="26"/>
        </w:rPr>
        <w:t>the Commission failed to consider the adverse impact of lowering the discount from PG&amp;E’s direct service residential service rate, yet it is re</w:t>
      </w:r>
      <w:r w:rsidR="001B6108" w:rsidRPr="005B3304">
        <w:rPr>
          <w:rFonts w:ascii="Arial" w:hAnsi="Arial"/>
          <w:sz w:val="26"/>
          <w:szCs w:val="26"/>
        </w:rPr>
        <w:t>quired to do so.   T</w:t>
      </w:r>
      <w:r w:rsidRPr="005B3304">
        <w:rPr>
          <w:rFonts w:ascii="Arial" w:hAnsi="Arial"/>
          <w:sz w:val="26"/>
          <w:szCs w:val="26"/>
        </w:rPr>
        <w:t xml:space="preserve">he Commission ignored material economic impacts that should have been </w:t>
      </w:r>
      <w:r w:rsidR="00B2283C" w:rsidRPr="005B3304">
        <w:rPr>
          <w:rFonts w:ascii="Arial" w:hAnsi="Arial"/>
          <w:sz w:val="26"/>
          <w:szCs w:val="26"/>
        </w:rPr>
        <w:t>central</w:t>
      </w:r>
      <w:r w:rsidRPr="005B3304">
        <w:rPr>
          <w:rFonts w:ascii="Arial" w:hAnsi="Arial"/>
          <w:sz w:val="26"/>
          <w:szCs w:val="26"/>
        </w:rPr>
        <w:t xml:space="preserve"> to its decision in setting the level of the </w:t>
      </w:r>
      <w:r w:rsidR="00C63F6B">
        <w:rPr>
          <w:rFonts w:ascii="Arial" w:hAnsi="Arial"/>
          <w:sz w:val="26"/>
          <w:szCs w:val="26"/>
        </w:rPr>
        <w:t>master-metered</w:t>
      </w:r>
      <w:r w:rsidRPr="005B3304">
        <w:rPr>
          <w:rFonts w:ascii="Arial" w:hAnsi="Arial"/>
          <w:sz w:val="26"/>
          <w:szCs w:val="26"/>
        </w:rPr>
        <w:t xml:space="preserve"> MHP discount.  In failing to assess the real impact of lowering PG&amp;E’s </w:t>
      </w:r>
      <w:r w:rsidR="00C63F6B">
        <w:rPr>
          <w:rFonts w:ascii="Arial" w:hAnsi="Arial"/>
          <w:sz w:val="26"/>
          <w:szCs w:val="26"/>
        </w:rPr>
        <w:t>master-metered</w:t>
      </w:r>
      <w:r w:rsidR="00B2283C" w:rsidRPr="005B3304">
        <w:rPr>
          <w:rFonts w:ascii="Arial" w:hAnsi="Arial"/>
          <w:sz w:val="26"/>
          <w:szCs w:val="26"/>
        </w:rPr>
        <w:t xml:space="preserve"> </w:t>
      </w:r>
      <w:r w:rsidRPr="005B3304">
        <w:rPr>
          <w:rFonts w:ascii="Arial" w:hAnsi="Arial"/>
          <w:sz w:val="26"/>
          <w:szCs w:val="26"/>
        </w:rPr>
        <w:t xml:space="preserve">MHP </w:t>
      </w:r>
      <w:r w:rsidR="00B2283C" w:rsidRPr="005B3304">
        <w:rPr>
          <w:rFonts w:ascii="Arial" w:hAnsi="Arial"/>
          <w:sz w:val="26"/>
          <w:szCs w:val="26"/>
        </w:rPr>
        <w:t xml:space="preserve">published </w:t>
      </w:r>
      <w:r w:rsidRPr="005B3304">
        <w:rPr>
          <w:rFonts w:ascii="Arial" w:hAnsi="Arial"/>
          <w:sz w:val="26"/>
          <w:szCs w:val="26"/>
        </w:rPr>
        <w:t xml:space="preserve">discount </w:t>
      </w:r>
      <w:r w:rsidR="001B6108" w:rsidRPr="005B3304">
        <w:rPr>
          <w:rFonts w:ascii="Arial" w:hAnsi="Arial"/>
          <w:sz w:val="26"/>
          <w:szCs w:val="26"/>
        </w:rPr>
        <w:t xml:space="preserve">by </w:t>
      </w:r>
      <w:r w:rsidRPr="005B3304">
        <w:rPr>
          <w:rFonts w:ascii="Arial" w:hAnsi="Arial"/>
          <w:sz w:val="26"/>
          <w:szCs w:val="26"/>
        </w:rPr>
        <w:t>79% when PG&amp;E’s own rates were rising 14%</w:t>
      </w:r>
      <w:r w:rsidR="00217243" w:rsidRPr="005B3304">
        <w:rPr>
          <w:rFonts w:ascii="Arial" w:hAnsi="Arial"/>
          <w:sz w:val="26"/>
          <w:szCs w:val="26"/>
        </w:rPr>
        <w:t>,</w:t>
      </w:r>
      <w:r w:rsidRPr="005B3304">
        <w:rPr>
          <w:rFonts w:ascii="Arial" w:hAnsi="Arial"/>
          <w:sz w:val="26"/>
          <w:szCs w:val="26"/>
        </w:rPr>
        <w:t xml:space="preserve"> the Commission abused its discretion.</w:t>
      </w:r>
      <w:r w:rsidR="00B2283C" w:rsidRPr="005B3304">
        <w:rPr>
          <w:rStyle w:val="FootnoteReference"/>
          <w:rFonts w:ascii="Arial" w:hAnsi="Arial"/>
          <w:sz w:val="26"/>
          <w:szCs w:val="26"/>
        </w:rPr>
        <w:footnoteReference w:id="4"/>
      </w:r>
      <w:r w:rsidRPr="005B3304">
        <w:rPr>
          <w:rFonts w:ascii="Arial" w:hAnsi="Arial"/>
          <w:sz w:val="26"/>
          <w:szCs w:val="26"/>
        </w:rPr>
        <w:t xml:space="preserve">  </w:t>
      </w:r>
      <w:r w:rsidR="001B6108" w:rsidRPr="005B3304">
        <w:rPr>
          <w:rFonts w:ascii="Arial" w:hAnsi="Arial"/>
          <w:sz w:val="26"/>
          <w:szCs w:val="26"/>
        </w:rPr>
        <w:t xml:space="preserve">Such a change in rates required an investigation by the Commission into the consequences of its decision and whether those consequences conformed </w:t>
      </w:r>
      <w:r w:rsidR="00B2283C" w:rsidRPr="005B3304">
        <w:rPr>
          <w:rFonts w:ascii="Arial" w:hAnsi="Arial"/>
          <w:sz w:val="26"/>
          <w:szCs w:val="26"/>
        </w:rPr>
        <w:t>to</w:t>
      </w:r>
      <w:r w:rsidR="001B6108" w:rsidRPr="005B3304">
        <w:rPr>
          <w:rFonts w:ascii="Arial" w:hAnsi="Arial"/>
          <w:sz w:val="26"/>
          <w:szCs w:val="26"/>
        </w:rPr>
        <w:t xml:space="preserve"> the requirements of Section 739.5.  </w:t>
      </w:r>
      <w:r w:rsidRPr="005B3304">
        <w:rPr>
          <w:rFonts w:ascii="Arial" w:hAnsi="Arial"/>
          <w:sz w:val="26"/>
          <w:szCs w:val="26"/>
        </w:rPr>
        <w:t xml:space="preserve">The Commission did not consider the economic impact on </w:t>
      </w:r>
      <w:r w:rsidR="00513A77" w:rsidRPr="005B3304">
        <w:rPr>
          <w:rFonts w:ascii="Arial" w:hAnsi="Arial"/>
          <w:sz w:val="26"/>
          <w:szCs w:val="26"/>
        </w:rPr>
        <w:t>master-meter</w:t>
      </w:r>
      <w:r w:rsidR="001B6108" w:rsidRPr="005B3304">
        <w:rPr>
          <w:rFonts w:ascii="Arial" w:hAnsi="Arial"/>
          <w:sz w:val="26"/>
          <w:szCs w:val="26"/>
        </w:rPr>
        <w:t xml:space="preserve">ed </w:t>
      </w:r>
      <w:r w:rsidRPr="005B3304">
        <w:rPr>
          <w:rFonts w:ascii="Arial" w:hAnsi="Arial"/>
          <w:sz w:val="26"/>
          <w:szCs w:val="26"/>
        </w:rPr>
        <w:t xml:space="preserve">MHP owners of its precipitous lowering of the discount, nor the potential resulting impact on provision of safe, reliable service to </w:t>
      </w:r>
      <w:r w:rsidR="00513A77" w:rsidRPr="005B3304">
        <w:rPr>
          <w:rFonts w:ascii="Arial" w:hAnsi="Arial"/>
          <w:sz w:val="26"/>
          <w:szCs w:val="26"/>
        </w:rPr>
        <w:t>master-meter</w:t>
      </w:r>
      <w:r w:rsidR="001B6108" w:rsidRPr="005B3304">
        <w:rPr>
          <w:rFonts w:ascii="Arial" w:hAnsi="Arial"/>
          <w:sz w:val="26"/>
          <w:szCs w:val="26"/>
        </w:rPr>
        <w:t>ed</w:t>
      </w:r>
      <w:r w:rsidRPr="005B3304">
        <w:rPr>
          <w:rFonts w:ascii="Arial" w:hAnsi="Arial"/>
          <w:sz w:val="26"/>
          <w:szCs w:val="26"/>
        </w:rPr>
        <w:t xml:space="preserve"> MHP residential tenants</w:t>
      </w:r>
      <w:r w:rsidR="00217243" w:rsidRPr="005B3304">
        <w:rPr>
          <w:rFonts w:ascii="Arial" w:hAnsi="Arial"/>
          <w:sz w:val="26"/>
          <w:szCs w:val="26"/>
        </w:rPr>
        <w:t xml:space="preserve"> (</w:t>
      </w:r>
      <w:r w:rsidR="00217243" w:rsidRPr="005B3304">
        <w:rPr>
          <w:rFonts w:ascii="Arial" w:hAnsi="Arial"/>
          <w:i/>
          <w:sz w:val="26"/>
          <w:szCs w:val="26"/>
        </w:rPr>
        <w:t>See</w:t>
      </w:r>
      <w:r w:rsidR="00217243" w:rsidRPr="005B3304">
        <w:rPr>
          <w:rFonts w:ascii="Arial" w:hAnsi="Arial"/>
          <w:sz w:val="26"/>
          <w:szCs w:val="26"/>
        </w:rPr>
        <w:t xml:space="preserve"> </w:t>
      </w:r>
      <w:r w:rsidR="00217243" w:rsidRPr="00DC03E9">
        <w:rPr>
          <w:rFonts w:ascii="Arial" w:hAnsi="Arial"/>
          <w:i/>
          <w:sz w:val="26"/>
          <w:szCs w:val="26"/>
        </w:rPr>
        <w:t>e</w:t>
      </w:r>
      <w:r w:rsidR="001B6108" w:rsidRPr="00DC03E9">
        <w:rPr>
          <w:rFonts w:ascii="Arial" w:hAnsi="Arial"/>
          <w:i/>
          <w:sz w:val="26"/>
          <w:szCs w:val="26"/>
        </w:rPr>
        <w:t>.g</w:t>
      </w:r>
      <w:r w:rsidR="001B6108" w:rsidRPr="005B3304">
        <w:rPr>
          <w:rFonts w:ascii="Arial" w:hAnsi="Arial"/>
          <w:sz w:val="26"/>
          <w:szCs w:val="26"/>
        </w:rPr>
        <w:t xml:space="preserve">., </w:t>
      </w:r>
      <w:r w:rsidR="00217243" w:rsidRPr="005B3304">
        <w:rPr>
          <w:rFonts w:ascii="Arial" w:hAnsi="Arial"/>
          <w:sz w:val="26"/>
          <w:szCs w:val="26"/>
        </w:rPr>
        <w:t xml:space="preserve">Public Utilities Code </w:t>
      </w:r>
      <w:r w:rsidR="00217243" w:rsidRPr="005B3304">
        <w:rPr>
          <w:rFonts w:ascii="Arial" w:hAnsi="Arial" w:cs="Arial"/>
          <w:sz w:val="26"/>
          <w:szCs w:val="26"/>
        </w:rPr>
        <w:t>§</w:t>
      </w:r>
      <w:r w:rsidR="001B6108" w:rsidRPr="005B3304">
        <w:rPr>
          <w:rFonts w:ascii="Arial" w:hAnsi="Arial"/>
          <w:sz w:val="26"/>
          <w:szCs w:val="26"/>
        </w:rPr>
        <w:t>2794(a)(1).</w:t>
      </w:r>
      <w:r w:rsidRPr="005B3304">
        <w:rPr>
          <w:rFonts w:ascii="Arial" w:hAnsi="Arial"/>
          <w:sz w:val="26"/>
          <w:szCs w:val="26"/>
        </w:rPr>
        <w:t xml:space="preserve"> </w:t>
      </w:r>
      <w:r w:rsidR="001B6108" w:rsidRPr="005B3304">
        <w:rPr>
          <w:rFonts w:ascii="Arial" w:hAnsi="Arial"/>
          <w:sz w:val="26"/>
          <w:szCs w:val="26"/>
        </w:rPr>
        <w:t xml:space="preserve"> </w:t>
      </w:r>
      <w:r w:rsidRPr="005B3304">
        <w:rPr>
          <w:rFonts w:ascii="Arial" w:hAnsi="Arial"/>
          <w:sz w:val="26"/>
          <w:szCs w:val="26"/>
        </w:rPr>
        <w:t xml:space="preserve">Since the Commission’s action will give an unfair advantage to </w:t>
      </w:r>
      <w:r w:rsidR="003D44D7" w:rsidRPr="005B3304">
        <w:rPr>
          <w:rFonts w:ascii="Arial" w:hAnsi="Arial"/>
          <w:sz w:val="26"/>
          <w:szCs w:val="26"/>
        </w:rPr>
        <w:t xml:space="preserve">both </w:t>
      </w:r>
      <w:r w:rsidRPr="005B3304">
        <w:rPr>
          <w:rFonts w:ascii="Arial" w:hAnsi="Arial"/>
          <w:sz w:val="26"/>
          <w:szCs w:val="26"/>
        </w:rPr>
        <w:t xml:space="preserve">PG&amp;E </w:t>
      </w:r>
      <w:r w:rsidR="003D44D7" w:rsidRPr="005B3304">
        <w:rPr>
          <w:rFonts w:ascii="Arial" w:hAnsi="Arial"/>
          <w:sz w:val="26"/>
          <w:szCs w:val="26"/>
        </w:rPr>
        <w:t>in delivering utility service and to owners of directly</w:t>
      </w:r>
      <w:r w:rsidR="00C63F6B">
        <w:rPr>
          <w:rFonts w:ascii="Arial" w:hAnsi="Arial"/>
          <w:sz w:val="26"/>
          <w:szCs w:val="26"/>
        </w:rPr>
        <w:t>-</w:t>
      </w:r>
      <w:r w:rsidR="003D44D7" w:rsidRPr="005B3304">
        <w:rPr>
          <w:rFonts w:ascii="Arial" w:hAnsi="Arial"/>
          <w:sz w:val="26"/>
          <w:szCs w:val="26"/>
        </w:rPr>
        <w:t xml:space="preserve">metered MHPs in providing housing services </w:t>
      </w:r>
      <w:r w:rsidRPr="005B3304">
        <w:rPr>
          <w:rFonts w:ascii="Arial" w:hAnsi="Arial"/>
          <w:sz w:val="26"/>
          <w:szCs w:val="26"/>
        </w:rPr>
        <w:t xml:space="preserve">over </w:t>
      </w:r>
      <w:r w:rsidR="00513A77" w:rsidRPr="005B3304">
        <w:rPr>
          <w:rFonts w:ascii="Arial" w:hAnsi="Arial"/>
          <w:sz w:val="26"/>
          <w:szCs w:val="26"/>
        </w:rPr>
        <w:t>master-meter</w:t>
      </w:r>
      <w:r w:rsidR="003D44D7" w:rsidRPr="005B3304">
        <w:rPr>
          <w:rFonts w:ascii="Arial" w:hAnsi="Arial"/>
          <w:sz w:val="26"/>
          <w:szCs w:val="26"/>
        </w:rPr>
        <w:t xml:space="preserve">ed </w:t>
      </w:r>
      <w:r w:rsidRPr="005B3304">
        <w:rPr>
          <w:rFonts w:ascii="Arial" w:hAnsi="Arial"/>
          <w:sz w:val="26"/>
          <w:szCs w:val="26"/>
        </w:rPr>
        <w:t xml:space="preserve">MHP owners providing the same service to the same class of customers, the Commission should have assessed the economic impact of its action.  </w:t>
      </w:r>
      <w:r w:rsidRPr="00C63F6B">
        <w:rPr>
          <w:rFonts w:ascii="Arial" w:hAnsi="Arial"/>
          <w:i/>
          <w:sz w:val="26"/>
          <w:szCs w:val="26"/>
        </w:rPr>
        <w:t>See</w:t>
      </w:r>
      <w:r w:rsidRPr="005B3304">
        <w:rPr>
          <w:rFonts w:ascii="Arial" w:hAnsi="Arial"/>
          <w:sz w:val="26"/>
          <w:szCs w:val="26"/>
        </w:rPr>
        <w:t xml:space="preserve"> </w:t>
      </w:r>
      <w:r w:rsidRPr="005B3304">
        <w:rPr>
          <w:rFonts w:ascii="Arial" w:hAnsi="Arial"/>
          <w:sz w:val="26"/>
          <w:szCs w:val="26"/>
          <w:u w:val="single"/>
        </w:rPr>
        <w:t>United States Steel Corp. v. Public Utilities Com</w:t>
      </w:r>
      <w:r w:rsidRPr="005B3304">
        <w:rPr>
          <w:rFonts w:ascii="Arial" w:hAnsi="Arial"/>
          <w:sz w:val="26"/>
          <w:szCs w:val="26"/>
        </w:rPr>
        <w:t xml:space="preserve">. </w:t>
      </w:r>
      <w:r w:rsidR="00660D9E" w:rsidRPr="005B3304">
        <w:rPr>
          <w:rFonts w:ascii="Arial" w:hAnsi="Arial"/>
          <w:sz w:val="26"/>
          <w:szCs w:val="26"/>
        </w:rPr>
        <w:t xml:space="preserve">(1981) </w:t>
      </w:r>
      <w:r w:rsidRPr="005B3304">
        <w:rPr>
          <w:rFonts w:ascii="Arial" w:hAnsi="Arial"/>
          <w:sz w:val="26"/>
          <w:szCs w:val="26"/>
        </w:rPr>
        <w:t xml:space="preserve">29 Cal.3d 603, 610; 175 Cal.Rptr. 169, 629 P.2d 1381.  As the court noted in </w:t>
      </w:r>
      <w:r w:rsidRPr="005B3304">
        <w:rPr>
          <w:rFonts w:ascii="Arial" w:hAnsi="Arial"/>
          <w:sz w:val="26"/>
          <w:szCs w:val="26"/>
          <w:u w:val="single"/>
        </w:rPr>
        <w:t>U.S. Steel Corp</w:t>
      </w:r>
      <w:r w:rsidRPr="005B3304">
        <w:rPr>
          <w:rFonts w:ascii="Arial" w:hAnsi="Arial"/>
          <w:sz w:val="26"/>
          <w:szCs w:val="26"/>
        </w:rPr>
        <w:t xml:space="preserve">., “[c]oncomitant with the discretion conferred on the commission is the duty to consider all facts that might bear on exercise of that discretion.  The commission must consider alternatives presented and factors warranting adoption of those alternatives.  </w:t>
      </w:r>
      <w:r w:rsidRPr="005B3304">
        <w:rPr>
          <w:rFonts w:ascii="Arial" w:hAnsi="Arial"/>
          <w:sz w:val="26"/>
          <w:szCs w:val="26"/>
          <w:u w:val="single"/>
        </w:rPr>
        <w:t>City of Los Angeles v. Public Utilities Com</w:t>
      </w:r>
      <w:r w:rsidRPr="005B3304">
        <w:rPr>
          <w:rFonts w:ascii="Arial" w:hAnsi="Arial"/>
          <w:sz w:val="26"/>
          <w:szCs w:val="26"/>
        </w:rPr>
        <w:t xml:space="preserve">. (1975) 15 Cal.3d 680, 693-695, 125 Cal.Rptr. 779, 542 P.2d 1371; </w:t>
      </w:r>
      <w:r w:rsidRPr="005B3304">
        <w:rPr>
          <w:rFonts w:ascii="Arial" w:hAnsi="Arial"/>
          <w:sz w:val="26"/>
          <w:szCs w:val="26"/>
          <w:u w:val="single"/>
        </w:rPr>
        <w:t>City and County of San Francisco v. Public Utilities Com</w:t>
      </w:r>
      <w:r w:rsidRPr="005B3304">
        <w:rPr>
          <w:rFonts w:ascii="Arial" w:hAnsi="Arial"/>
          <w:sz w:val="26"/>
          <w:szCs w:val="26"/>
        </w:rPr>
        <w:t>. (1971) 6 Cal.3d 119, 129, 98 Cal.Rptr. 286, 490 P.2d 798.  The Court annulled the Commission’s decision to exempt certain freight shippers from regulation, thus conferring an economic advantage on one group of commodity shippers over others providing the same service, finding that the adverse impact on one group of shippers was material and that the Commission had a duty to consider alternatives to the discriminatory pricing adopted that would not have the same impact.</w:t>
      </w:r>
    </w:p>
    <w:p w:rsidR="00F033F1" w:rsidRPr="005B3304" w:rsidRDefault="00BD4205" w:rsidP="00E12B47">
      <w:pPr>
        <w:spacing w:after="0" w:line="480" w:lineRule="auto"/>
        <w:ind w:left="720" w:firstLine="720"/>
        <w:rPr>
          <w:rFonts w:ascii="Arial" w:hAnsi="Arial"/>
          <w:sz w:val="26"/>
          <w:szCs w:val="26"/>
        </w:rPr>
      </w:pPr>
      <w:r w:rsidRPr="005B3304">
        <w:rPr>
          <w:rFonts w:ascii="Arial" w:hAnsi="Arial"/>
          <w:sz w:val="26"/>
          <w:szCs w:val="26"/>
        </w:rPr>
        <w:t xml:space="preserve">Because the impact of the Commission’s decision is so materially detrimental to </w:t>
      </w:r>
      <w:r w:rsidR="00C63F6B">
        <w:rPr>
          <w:rFonts w:ascii="Arial" w:hAnsi="Arial"/>
          <w:sz w:val="26"/>
          <w:szCs w:val="26"/>
        </w:rPr>
        <w:t>master-metered</w:t>
      </w:r>
      <w:r w:rsidRPr="005B3304">
        <w:rPr>
          <w:rFonts w:ascii="Arial" w:hAnsi="Arial"/>
          <w:sz w:val="26"/>
          <w:szCs w:val="26"/>
        </w:rPr>
        <w:t xml:space="preserve"> MHP owners when providing the same service to the same class of customers as PG&amp;E’s directly serviced MHP residential tenant customers, it results in preference, disadvantage and prejudice in violation of Section 453 c).  See </w:t>
      </w:r>
      <w:r w:rsidRPr="005B3304">
        <w:rPr>
          <w:rFonts w:ascii="Arial" w:hAnsi="Arial"/>
          <w:sz w:val="26"/>
          <w:szCs w:val="26"/>
          <w:u w:val="single"/>
        </w:rPr>
        <w:t>Cal. Portland Cement Co. V. Public Util. Com</w:t>
      </w:r>
      <w:r w:rsidRPr="005B3304">
        <w:rPr>
          <w:rFonts w:ascii="Arial" w:hAnsi="Arial"/>
          <w:sz w:val="26"/>
          <w:szCs w:val="26"/>
        </w:rPr>
        <w:t>. (1957) 49 Cal.2d 171, 175, 315 P.2d 709.  As such it should be annulled.</w:t>
      </w:r>
    </w:p>
    <w:p w:rsidR="000038E6" w:rsidRPr="005B3304" w:rsidRDefault="00296864" w:rsidP="00E12B47">
      <w:pPr>
        <w:ind w:firstLine="720"/>
        <w:rPr>
          <w:rFonts w:ascii="Arial" w:hAnsi="Arial"/>
          <w:b/>
          <w:sz w:val="26"/>
          <w:szCs w:val="26"/>
        </w:rPr>
      </w:pPr>
      <w:r>
        <w:rPr>
          <w:rFonts w:ascii="Arial" w:hAnsi="Arial"/>
          <w:b/>
          <w:sz w:val="26"/>
          <w:szCs w:val="26"/>
        </w:rPr>
        <w:br w:type="page"/>
      </w:r>
      <w:r w:rsidR="005B3304" w:rsidRPr="005B3304">
        <w:rPr>
          <w:rFonts w:ascii="Arial" w:hAnsi="Arial"/>
          <w:b/>
          <w:sz w:val="26"/>
          <w:szCs w:val="26"/>
        </w:rPr>
        <w:t>D.</w:t>
      </w:r>
      <w:r w:rsidR="005B3304" w:rsidRPr="005B3304">
        <w:rPr>
          <w:rFonts w:ascii="Arial" w:hAnsi="Arial"/>
          <w:b/>
          <w:sz w:val="26"/>
          <w:szCs w:val="26"/>
        </w:rPr>
        <w:tab/>
        <w:t>Conclusion</w:t>
      </w:r>
    </w:p>
    <w:p w:rsidR="00CA2A5C" w:rsidRPr="005B3304" w:rsidRDefault="005424D4" w:rsidP="00E12B47">
      <w:pPr>
        <w:spacing w:line="480" w:lineRule="auto"/>
        <w:ind w:left="720"/>
        <w:rPr>
          <w:rFonts w:ascii="Arial" w:hAnsi="Arial"/>
          <w:sz w:val="26"/>
          <w:szCs w:val="26"/>
        </w:rPr>
      </w:pPr>
      <w:r w:rsidRPr="005B3304">
        <w:rPr>
          <w:rFonts w:ascii="Arial" w:hAnsi="Arial"/>
          <w:sz w:val="26"/>
          <w:szCs w:val="26"/>
        </w:rPr>
        <w:tab/>
        <w:t xml:space="preserve">For the reason given, this Court should grant the petition and issue a peremptory Writ of </w:t>
      </w:r>
      <w:r w:rsidR="00B2283C" w:rsidRPr="005B3304">
        <w:rPr>
          <w:rFonts w:ascii="Arial" w:hAnsi="Arial"/>
          <w:sz w:val="26"/>
          <w:szCs w:val="26"/>
        </w:rPr>
        <w:t>Review</w:t>
      </w:r>
      <w:r w:rsidRPr="005B3304">
        <w:rPr>
          <w:rFonts w:ascii="Arial" w:hAnsi="Arial"/>
          <w:sz w:val="26"/>
          <w:szCs w:val="26"/>
        </w:rPr>
        <w:t xml:space="preserve"> directing the respondent to vacate its orders.  The respondent </w:t>
      </w:r>
      <w:r w:rsidR="00B2283C" w:rsidRPr="005B3304">
        <w:rPr>
          <w:rFonts w:ascii="Arial" w:hAnsi="Arial"/>
          <w:sz w:val="26"/>
          <w:szCs w:val="26"/>
        </w:rPr>
        <w:t xml:space="preserve">Commission </w:t>
      </w:r>
      <w:r w:rsidRPr="005B3304">
        <w:rPr>
          <w:rFonts w:ascii="Arial" w:hAnsi="Arial"/>
          <w:sz w:val="26"/>
          <w:szCs w:val="26"/>
        </w:rPr>
        <w:t>should be instructed to enter a new and different order providing that the differential be set using the same rate PG&amp;E charges to directly-served mobilehome MHP tenants within its service territory.</w:t>
      </w:r>
    </w:p>
    <w:p w:rsidR="005424D4" w:rsidRPr="005B3304" w:rsidRDefault="005424D4" w:rsidP="00E12B47">
      <w:pPr>
        <w:spacing w:line="240" w:lineRule="auto"/>
        <w:ind w:left="720"/>
        <w:rPr>
          <w:rFonts w:ascii="Arial" w:hAnsi="Arial"/>
          <w:sz w:val="26"/>
          <w:szCs w:val="26"/>
        </w:rPr>
      </w:pPr>
      <w:r w:rsidRPr="005B3304">
        <w:rPr>
          <w:rFonts w:ascii="Arial" w:hAnsi="Arial"/>
          <w:sz w:val="26"/>
          <w:szCs w:val="26"/>
        </w:rPr>
        <w:t>DATED:  September 21, 2012</w:t>
      </w: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t>Respectfully submitted,</w:t>
      </w:r>
    </w:p>
    <w:p w:rsidR="005424D4" w:rsidRPr="005B3304" w:rsidRDefault="005424D4" w:rsidP="00E12B47">
      <w:pPr>
        <w:spacing w:line="240" w:lineRule="auto"/>
        <w:ind w:left="720"/>
        <w:rPr>
          <w:rFonts w:ascii="Arial" w:hAnsi="Arial"/>
          <w:sz w:val="26"/>
          <w:szCs w:val="26"/>
        </w:rPr>
      </w:pP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t>ANDERSON &amp; POOLE, P.C.</w:t>
      </w:r>
    </w:p>
    <w:p w:rsidR="00016425" w:rsidRPr="005B3304" w:rsidRDefault="00016425" w:rsidP="00E12B47">
      <w:pPr>
        <w:spacing w:after="0" w:line="240" w:lineRule="auto"/>
        <w:ind w:left="720"/>
        <w:rPr>
          <w:rFonts w:ascii="Arial" w:hAnsi="Arial"/>
          <w:sz w:val="26"/>
          <w:szCs w:val="26"/>
        </w:rPr>
      </w:pPr>
    </w:p>
    <w:p w:rsidR="005424D4" w:rsidRPr="005B3304" w:rsidRDefault="005424D4" w:rsidP="00E12B47">
      <w:pPr>
        <w:spacing w:after="0" w:line="240" w:lineRule="auto"/>
        <w:ind w:left="720"/>
        <w:rPr>
          <w:rFonts w:ascii="Arial" w:hAnsi="Arial"/>
          <w:sz w:val="26"/>
          <w:szCs w:val="26"/>
        </w:rPr>
      </w:pP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r>
      <w:r w:rsidRPr="005B3304">
        <w:rPr>
          <w:rFonts w:ascii="Arial" w:hAnsi="Arial"/>
          <w:sz w:val="26"/>
          <w:szCs w:val="26"/>
          <w:u w:val="single"/>
        </w:rPr>
        <w:tab/>
      </w:r>
      <w:r w:rsidRPr="005B3304">
        <w:rPr>
          <w:rFonts w:ascii="Arial" w:hAnsi="Arial"/>
          <w:sz w:val="26"/>
          <w:szCs w:val="26"/>
          <w:u w:val="single"/>
        </w:rPr>
        <w:tab/>
      </w:r>
      <w:r w:rsidRPr="005B3304">
        <w:rPr>
          <w:rFonts w:ascii="Arial" w:hAnsi="Arial"/>
          <w:sz w:val="26"/>
          <w:szCs w:val="26"/>
          <w:u w:val="single"/>
        </w:rPr>
        <w:tab/>
      </w:r>
      <w:r w:rsidRPr="005B3304">
        <w:rPr>
          <w:rFonts w:ascii="Arial" w:hAnsi="Arial"/>
          <w:sz w:val="26"/>
          <w:szCs w:val="26"/>
          <w:u w:val="single"/>
        </w:rPr>
        <w:tab/>
      </w:r>
      <w:r w:rsidRPr="005B3304">
        <w:rPr>
          <w:rFonts w:ascii="Arial" w:hAnsi="Arial"/>
          <w:sz w:val="26"/>
          <w:szCs w:val="26"/>
          <w:u w:val="single"/>
        </w:rPr>
        <w:tab/>
      </w:r>
    </w:p>
    <w:p w:rsidR="005424D4" w:rsidRPr="005B3304" w:rsidRDefault="005424D4" w:rsidP="00E12B47">
      <w:pPr>
        <w:spacing w:after="0" w:line="240" w:lineRule="auto"/>
        <w:ind w:left="720"/>
        <w:rPr>
          <w:rFonts w:ascii="Arial" w:hAnsi="Arial"/>
          <w:sz w:val="26"/>
          <w:szCs w:val="26"/>
        </w:rPr>
      </w:pP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t>EDWARD G. POOLE</w:t>
      </w:r>
      <w:r w:rsidR="00016425" w:rsidRPr="005B3304">
        <w:rPr>
          <w:rFonts w:ascii="Arial" w:hAnsi="Arial"/>
          <w:sz w:val="26"/>
          <w:szCs w:val="26"/>
        </w:rPr>
        <w:t>, ESQ.</w:t>
      </w:r>
    </w:p>
    <w:p w:rsidR="005424D4" w:rsidRPr="005B3304" w:rsidRDefault="005424D4" w:rsidP="00E12B47">
      <w:pPr>
        <w:spacing w:after="0" w:line="240" w:lineRule="auto"/>
        <w:ind w:left="720"/>
        <w:rPr>
          <w:rFonts w:ascii="Arial" w:hAnsi="Arial"/>
          <w:sz w:val="26"/>
          <w:szCs w:val="26"/>
        </w:rPr>
      </w:pPr>
    </w:p>
    <w:p w:rsidR="00296864" w:rsidRDefault="005424D4" w:rsidP="00E12B47">
      <w:pPr>
        <w:spacing w:after="0" w:line="240" w:lineRule="auto"/>
        <w:ind w:left="720"/>
        <w:rPr>
          <w:rFonts w:ascii="Arial" w:hAnsi="Arial"/>
          <w:sz w:val="26"/>
          <w:szCs w:val="26"/>
        </w:rPr>
      </w:pP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t>601 California Street,</w:t>
      </w:r>
    </w:p>
    <w:p w:rsidR="005424D4" w:rsidRPr="005B3304" w:rsidRDefault="005424D4" w:rsidP="00E12B47">
      <w:pPr>
        <w:spacing w:after="0" w:line="240" w:lineRule="auto"/>
        <w:ind w:left="5040" w:firstLine="720"/>
        <w:rPr>
          <w:rFonts w:ascii="Arial" w:hAnsi="Arial"/>
          <w:sz w:val="26"/>
          <w:szCs w:val="26"/>
        </w:rPr>
      </w:pPr>
      <w:r w:rsidRPr="005B3304">
        <w:rPr>
          <w:rFonts w:ascii="Arial" w:hAnsi="Arial"/>
          <w:sz w:val="26"/>
          <w:szCs w:val="26"/>
        </w:rPr>
        <w:t xml:space="preserve"> Suite 1300</w:t>
      </w:r>
    </w:p>
    <w:p w:rsidR="005424D4" w:rsidRPr="005B3304" w:rsidRDefault="005424D4" w:rsidP="00E12B47">
      <w:pPr>
        <w:spacing w:after="0" w:line="240" w:lineRule="auto"/>
        <w:ind w:left="720"/>
        <w:rPr>
          <w:rFonts w:ascii="Arial" w:hAnsi="Arial"/>
          <w:sz w:val="26"/>
          <w:szCs w:val="26"/>
        </w:rPr>
      </w:pP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t>San Francisco, CA 94108</w:t>
      </w:r>
    </w:p>
    <w:p w:rsidR="005424D4" w:rsidRPr="005B3304" w:rsidRDefault="005424D4" w:rsidP="00E12B47">
      <w:pPr>
        <w:spacing w:after="0" w:line="240" w:lineRule="auto"/>
        <w:ind w:left="720"/>
        <w:rPr>
          <w:rFonts w:ascii="Arial" w:hAnsi="Arial"/>
          <w:sz w:val="26"/>
          <w:szCs w:val="26"/>
        </w:rPr>
      </w:pP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t>Telephone:  (415) 956-6413</w:t>
      </w:r>
    </w:p>
    <w:p w:rsidR="005424D4" w:rsidRPr="005B3304" w:rsidRDefault="005424D4" w:rsidP="00E12B47">
      <w:pPr>
        <w:spacing w:after="0" w:line="240" w:lineRule="auto"/>
        <w:ind w:left="720"/>
        <w:rPr>
          <w:rFonts w:ascii="Arial" w:hAnsi="Arial"/>
          <w:sz w:val="26"/>
          <w:szCs w:val="26"/>
        </w:rPr>
      </w:pP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r>
      <w:r w:rsidRPr="005B3304">
        <w:rPr>
          <w:rFonts w:ascii="Arial" w:hAnsi="Arial"/>
          <w:sz w:val="26"/>
          <w:szCs w:val="26"/>
        </w:rPr>
        <w:tab/>
        <w:t>Facsimile:  (415) 956-6416</w:t>
      </w:r>
    </w:p>
    <w:p w:rsidR="00016425" w:rsidRPr="005B3304" w:rsidRDefault="00016425" w:rsidP="00E12B47">
      <w:pPr>
        <w:spacing w:after="0" w:line="240" w:lineRule="auto"/>
        <w:ind w:left="720"/>
        <w:rPr>
          <w:rFonts w:ascii="Arial" w:hAnsi="Arial" w:cs="Arial"/>
          <w:sz w:val="26"/>
          <w:szCs w:val="26"/>
        </w:rPr>
      </w:pPr>
    </w:p>
    <w:p w:rsidR="00016425" w:rsidRPr="005B3304" w:rsidRDefault="00016425" w:rsidP="00E12B47">
      <w:pPr>
        <w:spacing w:after="0" w:line="240" w:lineRule="auto"/>
        <w:ind w:left="5040" w:firstLine="720"/>
        <w:rPr>
          <w:rFonts w:ascii="Arial" w:eastAsia="Times New Roman" w:hAnsi="Arial" w:cs="Arial"/>
          <w:spacing w:val="11"/>
          <w:sz w:val="26"/>
          <w:szCs w:val="26"/>
        </w:rPr>
      </w:pPr>
      <w:r w:rsidRPr="005B3304">
        <w:rPr>
          <w:rFonts w:ascii="Arial" w:eastAsia="Times New Roman" w:hAnsi="Arial" w:cs="Arial"/>
          <w:spacing w:val="11"/>
          <w:sz w:val="26"/>
          <w:szCs w:val="26"/>
        </w:rPr>
        <w:t xml:space="preserve">IRENE MOOSEN, ESQ. </w:t>
      </w:r>
    </w:p>
    <w:p w:rsidR="00016425" w:rsidRPr="005B3304" w:rsidRDefault="00016425" w:rsidP="00E12B47">
      <w:pPr>
        <w:spacing w:after="0" w:line="240" w:lineRule="auto"/>
        <w:ind w:left="5040" w:firstLine="720"/>
        <w:rPr>
          <w:rFonts w:ascii="Arial" w:eastAsia="Times New Roman" w:hAnsi="Arial" w:cs="Arial"/>
          <w:spacing w:val="11"/>
          <w:sz w:val="26"/>
          <w:szCs w:val="26"/>
        </w:rPr>
      </w:pPr>
      <w:r w:rsidRPr="005B3304">
        <w:rPr>
          <w:rFonts w:ascii="Arial" w:eastAsia="Times New Roman" w:hAnsi="Arial" w:cs="Arial"/>
          <w:spacing w:val="11"/>
          <w:sz w:val="26"/>
          <w:szCs w:val="26"/>
        </w:rPr>
        <w:t>53 Santa Ynez Street</w:t>
      </w:r>
    </w:p>
    <w:p w:rsidR="00016425" w:rsidRPr="005B3304" w:rsidRDefault="00016425" w:rsidP="00E12B47">
      <w:pPr>
        <w:spacing w:after="0" w:line="240" w:lineRule="auto"/>
        <w:ind w:left="5040" w:firstLine="720"/>
        <w:rPr>
          <w:rFonts w:ascii="Arial" w:eastAsia="Times New Roman" w:hAnsi="Arial" w:cs="Arial"/>
          <w:spacing w:val="11"/>
          <w:sz w:val="26"/>
          <w:szCs w:val="26"/>
        </w:rPr>
      </w:pPr>
      <w:r w:rsidRPr="005B3304">
        <w:rPr>
          <w:rFonts w:ascii="Arial" w:eastAsia="Times New Roman" w:hAnsi="Arial" w:cs="Arial"/>
          <w:spacing w:val="11"/>
          <w:sz w:val="26"/>
          <w:szCs w:val="26"/>
        </w:rPr>
        <w:t>San Francisco, CA 94112</w:t>
      </w:r>
    </w:p>
    <w:p w:rsidR="00016425" w:rsidRPr="005B3304" w:rsidRDefault="00016425" w:rsidP="00E12B47">
      <w:pPr>
        <w:spacing w:after="0" w:line="240" w:lineRule="auto"/>
        <w:ind w:left="5040" w:firstLine="720"/>
        <w:rPr>
          <w:rFonts w:ascii="Arial" w:eastAsia="Times New Roman" w:hAnsi="Arial" w:cs="Arial"/>
          <w:spacing w:val="11"/>
          <w:sz w:val="26"/>
          <w:szCs w:val="26"/>
        </w:rPr>
      </w:pPr>
      <w:r w:rsidRPr="005B3304">
        <w:rPr>
          <w:rFonts w:ascii="Arial" w:eastAsia="Times New Roman" w:hAnsi="Arial" w:cs="Arial"/>
          <w:spacing w:val="11"/>
          <w:sz w:val="26"/>
          <w:szCs w:val="26"/>
        </w:rPr>
        <w:t>Telephone: 415-587-7343</w:t>
      </w:r>
    </w:p>
    <w:p w:rsidR="00016425" w:rsidRPr="005B3304" w:rsidRDefault="00016425" w:rsidP="00E12B47">
      <w:pPr>
        <w:spacing w:after="0" w:line="240" w:lineRule="auto"/>
        <w:ind w:left="720"/>
        <w:rPr>
          <w:rFonts w:ascii="Arial" w:hAnsi="Arial" w:cs="Arial"/>
          <w:sz w:val="26"/>
          <w:szCs w:val="26"/>
        </w:rPr>
      </w:pPr>
    </w:p>
    <w:p w:rsidR="005B3304" w:rsidRPr="005B3304" w:rsidRDefault="00016425" w:rsidP="00E12B47">
      <w:pPr>
        <w:spacing w:after="0" w:line="240" w:lineRule="auto"/>
        <w:ind w:left="5760"/>
        <w:rPr>
          <w:rFonts w:ascii="Arial" w:hAnsi="Arial" w:cs="Arial"/>
          <w:sz w:val="26"/>
          <w:szCs w:val="26"/>
        </w:rPr>
      </w:pPr>
      <w:r w:rsidRPr="005B3304">
        <w:rPr>
          <w:rFonts w:ascii="Arial" w:hAnsi="Arial" w:cs="Arial"/>
          <w:sz w:val="26"/>
          <w:szCs w:val="26"/>
        </w:rPr>
        <w:t>Attorneys for Petitioner, Western Manufactured Housing Communities Association</w:t>
      </w:r>
    </w:p>
    <w:p w:rsidR="005B3304" w:rsidRPr="005B3304" w:rsidRDefault="005B3304" w:rsidP="00E12B47">
      <w:pPr>
        <w:jc w:val="center"/>
        <w:rPr>
          <w:rFonts w:ascii="Arial" w:hAnsi="Arial" w:cs="Arial"/>
          <w:b/>
          <w:sz w:val="26"/>
          <w:szCs w:val="26"/>
        </w:rPr>
      </w:pPr>
      <w:r w:rsidRPr="005B3304">
        <w:rPr>
          <w:rFonts w:ascii="Arial" w:hAnsi="Arial" w:cs="Arial"/>
          <w:sz w:val="26"/>
          <w:szCs w:val="26"/>
        </w:rPr>
        <w:br w:type="page"/>
      </w:r>
      <w:r w:rsidRPr="005B3304">
        <w:rPr>
          <w:rFonts w:ascii="Arial" w:hAnsi="Arial" w:cs="Arial"/>
          <w:b/>
          <w:sz w:val="26"/>
          <w:szCs w:val="26"/>
        </w:rPr>
        <w:t>CERTIFICATE OF LENGTH OF PETITION</w:t>
      </w:r>
    </w:p>
    <w:p w:rsidR="005B3304" w:rsidRPr="005B3304" w:rsidRDefault="005B3304" w:rsidP="00E12B47">
      <w:pPr>
        <w:spacing w:line="480" w:lineRule="auto"/>
        <w:ind w:left="720"/>
        <w:rPr>
          <w:rFonts w:ascii="Arial" w:hAnsi="Arial" w:cs="Arial"/>
          <w:sz w:val="26"/>
          <w:szCs w:val="26"/>
        </w:rPr>
      </w:pPr>
      <w:r w:rsidRPr="005B3304">
        <w:rPr>
          <w:rFonts w:ascii="Arial" w:hAnsi="Arial" w:cs="Arial"/>
          <w:b/>
          <w:sz w:val="26"/>
          <w:szCs w:val="26"/>
        </w:rPr>
        <w:tab/>
      </w:r>
      <w:r w:rsidRPr="005B3304">
        <w:rPr>
          <w:rFonts w:ascii="Arial" w:hAnsi="Arial" w:cs="Arial"/>
          <w:sz w:val="26"/>
          <w:szCs w:val="26"/>
        </w:rPr>
        <w:t xml:space="preserve">The undersigned, counsel for the plaintiffs and appellants, hereby certifies pursuant to Rule 14(c)(1), California Rules of Court, that the foregoing petition is proportionately spaced, has a 13-point typeface, and contains </w:t>
      </w:r>
      <w:r w:rsidR="00C12813">
        <w:rPr>
          <w:rFonts w:ascii="Arial" w:hAnsi="Arial" w:cs="Arial"/>
          <w:sz w:val="26"/>
          <w:szCs w:val="26"/>
        </w:rPr>
        <w:t>4,4</w:t>
      </w:r>
      <w:r w:rsidR="00505575">
        <w:rPr>
          <w:rFonts w:ascii="Arial" w:hAnsi="Arial" w:cs="Arial"/>
          <w:sz w:val="26"/>
          <w:szCs w:val="26"/>
        </w:rPr>
        <w:t>9</w:t>
      </w:r>
      <w:r w:rsidR="00DC03E9">
        <w:rPr>
          <w:rFonts w:ascii="Arial" w:hAnsi="Arial" w:cs="Arial"/>
          <w:sz w:val="26"/>
          <w:szCs w:val="26"/>
        </w:rPr>
        <w:t>3</w:t>
      </w:r>
      <w:r w:rsidRPr="005B3304">
        <w:rPr>
          <w:rFonts w:ascii="Arial" w:hAnsi="Arial" w:cs="Arial"/>
          <w:sz w:val="26"/>
          <w:szCs w:val="26"/>
        </w:rPr>
        <w:t xml:space="preserve"> words as computed by the word processing program (Microsoft Office Word 2007) used to prepare the petition.</w:t>
      </w:r>
    </w:p>
    <w:p w:rsidR="005B3304" w:rsidRPr="005B3304" w:rsidRDefault="005B3304" w:rsidP="00E12B47">
      <w:pPr>
        <w:spacing w:line="480" w:lineRule="auto"/>
        <w:ind w:left="720"/>
        <w:rPr>
          <w:rFonts w:ascii="Arial" w:hAnsi="Arial" w:cs="Arial"/>
          <w:sz w:val="26"/>
          <w:szCs w:val="26"/>
        </w:rPr>
      </w:pPr>
      <w:r w:rsidRPr="005B3304">
        <w:rPr>
          <w:rFonts w:ascii="Arial" w:hAnsi="Arial" w:cs="Arial"/>
          <w:sz w:val="26"/>
          <w:szCs w:val="26"/>
        </w:rPr>
        <w:t>DATED:  September 21, 2012</w:t>
      </w:r>
    </w:p>
    <w:p w:rsidR="005B3304" w:rsidRPr="005B3304" w:rsidRDefault="005B3304" w:rsidP="00E12B47">
      <w:pPr>
        <w:spacing w:after="0" w:line="240" w:lineRule="auto"/>
        <w:ind w:left="720"/>
        <w:rPr>
          <w:rFonts w:ascii="Arial" w:hAnsi="Arial" w:cs="Arial"/>
          <w:sz w:val="26"/>
          <w:szCs w:val="26"/>
        </w:rPr>
      </w:pPr>
      <w:r w:rsidRPr="005B3304">
        <w:rPr>
          <w:rFonts w:ascii="Arial" w:hAnsi="Arial" w:cs="Arial"/>
          <w:sz w:val="26"/>
          <w:szCs w:val="26"/>
        </w:rPr>
        <w:tab/>
      </w:r>
      <w:r w:rsidRPr="005B3304">
        <w:rPr>
          <w:rFonts w:ascii="Arial" w:hAnsi="Arial" w:cs="Arial"/>
          <w:sz w:val="26"/>
          <w:szCs w:val="26"/>
        </w:rPr>
        <w:tab/>
      </w:r>
      <w:r w:rsidRPr="005B3304">
        <w:rPr>
          <w:rFonts w:ascii="Arial" w:hAnsi="Arial" w:cs="Arial"/>
          <w:sz w:val="26"/>
          <w:szCs w:val="26"/>
        </w:rPr>
        <w:tab/>
      </w:r>
      <w:r w:rsidRPr="005B3304">
        <w:rPr>
          <w:rFonts w:ascii="Arial" w:hAnsi="Arial" w:cs="Arial"/>
          <w:sz w:val="26"/>
          <w:szCs w:val="26"/>
        </w:rPr>
        <w:tab/>
      </w:r>
      <w:r w:rsidRPr="005B3304">
        <w:rPr>
          <w:rFonts w:ascii="Arial" w:hAnsi="Arial" w:cs="Arial"/>
          <w:sz w:val="26"/>
          <w:szCs w:val="26"/>
        </w:rPr>
        <w:tab/>
      </w:r>
      <w:r w:rsidRPr="005B3304">
        <w:rPr>
          <w:rFonts w:ascii="Arial" w:hAnsi="Arial" w:cs="Arial"/>
          <w:sz w:val="26"/>
          <w:szCs w:val="26"/>
        </w:rPr>
        <w:tab/>
      </w:r>
      <w:r w:rsidRPr="005B3304">
        <w:rPr>
          <w:rFonts w:ascii="Arial" w:hAnsi="Arial" w:cs="Arial"/>
          <w:sz w:val="26"/>
          <w:szCs w:val="26"/>
        </w:rPr>
        <w:tab/>
      </w:r>
      <w:r w:rsidRPr="005B3304">
        <w:rPr>
          <w:rFonts w:ascii="Arial" w:hAnsi="Arial" w:cs="Arial"/>
          <w:sz w:val="26"/>
          <w:szCs w:val="26"/>
          <w:u w:val="single"/>
        </w:rPr>
        <w:tab/>
      </w:r>
      <w:r w:rsidRPr="005B3304">
        <w:rPr>
          <w:rFonts w:ascii="Arial" w:hAnsi="Arial" w:cs="Arial"/>
          <w:sz w:val="26"/>
          <w:szCs w:val="26"/>
          <w:u w:val="single"/>
        </w:rPr>
        <w:tab/>
      </w:r>
      <w:r w:rsidRPr="005B3304">
        <w:rPr>
          <w:rFonts w:ascii="Arial" w:hAnsi="Arial" w:cs="Arial"/>
          <w:sz w:val="26"/>
          <w:szCs w:val="26"/>
          <w:u w:val="single"/>
        </w:rPr>
        <w:tab/>
      </w:r>
      <w:r w:rsidRPr="005B3304">
        <w:rPr>
          <w:rFonts w:ascii="Arial" w:hAnsi="Arial" w:cs="Arial"/>
          <w:sz w:val="26"/>
          <w:szCs w:val="26"/>
          <w:u w:val="single"/>
        </w:rPr>
        <w:tab/>
      </w:r>
      <w:r w:rsidRPr="005B3304">
        <w:rPr>
          <w:rFonts w:ascii="Arial" w:hAnsi="Arial" w:cs="Arial"/>
          <w:sz w:val="26"/>
          <w:szCs w:val="26"/>
          <w:u w:val="single"/>
        </w:rPr>
        <w:tab/>
      </w:r>
    </w:p>
    <w:p w:rsidR="005B3304" w:rsidRPr="005B3304" w:rsidRDefault="005B3304" w:rsidP="00E12B47">
      <w:pPr>
        <w:spacing w:after="0" w:line="240" w:lineRule="auto"/>
        <w:ind w:left="720"/>
        <w:rPr>
          <w:rFonts w:ascii="Arial" w:hAnsi="Arial" w:cs="Arial"/>
          <w:sz w:val="26"/>
          <w:szCs w:val="26"/>
        </w:rPr>
      </w:pPr>
      <w:r w:rsidRPr="005B3304">
        <w:rPr>
          <w:rFonts w:ascii="Arial" w:hAnsi="Arial" w:cs="Arial"/>
          <w:sz w:val="26"/>
          <w:szCs w:val="26"/>
        </w:rPr>
        <w:tab/>
      </w:r>
      <w:r w:rsidRPr="005B3304">
        <w:rPr>
          <w:rFonts w:ascii="Arial" w:hAnsi="Arial" w:cs="Arial"/>
          <w:sz w:val="26"/>
          <w:szCs w:val="26"/>
        </w:rPr>
        <w:tab/>
      </w:r>
      <w:r w:rsidRPr="005B3304">
        <w:rPr>
          <w:rFonts w:ascii="Arial" w:hAnsi="Arial" w:cs="Arial"/>
          <w:sz w:val="26"/>
          <w:szCs w:val="26"/>
        </w:rPr>
        <w:tab/>
      </w:r>
      <w:r w:rsidRPr="005B3304">
        <w:rPr>
          <w:rFonts w:ascii="Arial" w:hAnsi="Arial" w:cs="Arial"/>
          <w:sz w:val="26"/>
          <w:szCs w:val="26"/>
        </w:rPr>
        <w:tab/>
      </w:r>
      <w:r w:rsidRPr="005B3304">
        <w:rPr>
          <w:rFonts w:ascii="Arial" w:hAnsi="Arial" w:cs="Arial"/>
          <w:sz w:val="26"/>
          <w:szCs w:val="26"/>
        </w:rPr>
        <w:tab/>
      </w:r>
      <w:r w:rsidRPr="005B3304">
        <w:rPr>
          <w:rFonts w:ascii="Arial" w:hAnsi="Arial" w:cs="Arial"/>
          <w:sz w:val="26"/>
          <w:szCs w:val="26"/>
        </w:rPr>
        <w:tab/>
      </w:r>
      <w:r w:rsidRPr="005B3304">
        <w:rPr>
          <w:rFonts w:ascii="Arial" w:hAnsi="Arial" w:cs="Arial"/>
          <w:sz w:val="26"/>
          <w:szCs w:val="26"/>
        </w:rPr>
        <w:tab/>
        <w:t>EDWARD G. POOLE</w:t>
      </w:r>
    </w:p>
    <w:p w:rsidR="005B3304" w:rsidRPr="005B3304" w:rsidRDefault="005B3304" w:rsidP="00E12B47">
      <w:pPr>
        <w:ind w:left="720"/>
        <w:rPr>
          <w:rFonts w:ascii="Arial" w:hAnsi="Arial" w:cs="Arial"/>
          <w:sz w:val="26"/>
          <w:szCs w:val="26"/>
        </w:rPr>
      </w:pPr>
    </w:p>
    <w:p w:rsidR="005424D4" w:rsidRPr="00016425" w:rsidRDefault="005424D4" w:rsidP="00E12B47">
      <w:pPr>
        <w:spacing w:after="0" w:line="240" w:lineRule="auto"/>
        <w:ind w:left="5040"/>
        <w:rPr>
          <w:rFonts w:ascii="Arial" w:hAnsi="Arial" w:cs="Arial"/>
          <w:sz w:val="24"/>
          <w:szCs w:val="11"/>
        </w:rPr>
      </w:pPr>
    </w:p>
    <w:sectPr w:rsidR="005424D4" w:rsidRPr="00016425" w:rsidSect="00F34BCB">
      <w:footerReference w:type="default" r:id="rId8"/>
      <w:pgSz w:w="12240" w:h="15840"/>
      <w:pgMar w:top="1440" w:right="1440" w:bottom="1440" w:left="1440" w:header="720" w:footer="118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246" w:rsidRDefault="00277246" w:rsidP="00000A69">
      <w:pPr>
        <w:spacing w:after="0" w:line="240" w:lineRule="auto"/>
      </w:pPr>
      <w:r>
        <w:separator/>
      </w:r>
    </w:p>
  </w:endnote>
  <w:endnote w:type="continuationSeparator" w:id="0">
    <w:p w:rsidR="00277246" w:rsidRDefault="00277246" w:rsidP="00000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136920"/>
      <w:docPartObj>
        <w:docPartGallery w:val="Page Numbers (Bottom of Page)"/>
        <w:docPartUnique/>
      </w:docPartObj>
    </w:sdtPr>
    <w:sdtEndPr/>
    <w:sdtContent>
      <w:p w:rsidR="00277246" w:rsidRDefault="002B3FD1" w:rsidP="00E12B47">
        <w:pPr>
          <w:pStyle w:val="Footer"/>
          <w:ind w:left="720"/>
          <w:jc w:val="center"/>
        </w:pPr>
        <w:r>
          <w:fldChar w:fldCharType="begin"/>
        </w:r>
        <w:r>
          <w:instrText xml:space="preserve"> PAGE   \* MERGEFORMAT </w:instrText>
        </w:r>
        <w:r>
          <w:fldChar w:fldCharType="separate"/>
        </w:r>
        <w:r>
          <w:rPr>
            <w:noProof/>
          </w:rPr>
          <w:t>1</w:t>
        </w:r>
        <w:r>
          <w:rPr>
            <w:noProof/>
          </w:rPr>
          <w:fldChar w:fldCharType="end"/>
        </w:r>
      </w:p>
    </w:sdtContent>
  </w:sdt>
  <w:p w:rsidR="00277246" w:rsidRDefault="002772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246" w:rsidRDefault="00277246" w:rsidP="00000A69">
      <w:pPr>
        <w:spacing w:after="0" w:line="240" w:lineRule="auto"/>
      </w:pPr>
      <w:r>
        <w:separator/>
      </w:r>
    </w:p>
  </w:footnote>
  <w:footnote w:type="continuationSeparator" w:id="0">
    <w:p w:rsidR="00277246" w:rsidRDefault="00277246" w:rsidP="00000A69">
      <w:pPr>
        <w:spacing w:after="0" w:line="240" w:lineRule="auto"/>
      </w:pPr>
      <w:r>
        <w:continuationSeparator/>
      </w:r>
    </w:p>
  </w:footnote>
  <w:footnote w:id="1">
    <w:p w:rsidR="00EE73F1" w:rsidRDefault="00277246" w:rsidP="0095740D">
      <w:pPr>
        <w:pStyle w:val="FootnoteText"/>
        <w:ind w:firstLine="720"/>
      </w:pPr>
      <w:r>
        <w:rPr>
          <w:rStyle w:val="FootnoteReference"/>
        </w:rPr>
        <w:footnoteRef/>
      </w:r>
      <w:r>
        <w:t xml:space="preserve"> While PG&amp;E does have a separate</w:t>
      </w:r>
      <w:r w:rsidR="00EE73F1">
        <w:t xml:space="preserve"> master-metered</w:t>
      </w:r>
      <w:r>
        <w:t xml:space="preserve"> multi-family tariff (Schedule ES), that tariff provides</w:t>
      </w:r>
    </w:p>
    <w:p w:rsidR="00EE73F1" w:rsidRDefault="00277246" w:rsidP="0095740D">
      <w:pPr>
        <w:pStyle w:val="FootnoteText"/>
        <w:ind w:firstLine="720"/>
      </w:pPr>
      <w:r>
        <w:t xml:space="preserve"> for the same</w:t>
      </w:r>
      <w:r w:rsidR="00EE73F1">
        <w:t xml:space="preserve"> </w:t>
      </w:r>
      <w:r>
        <w:t xml:space="preserve"> exact rates as applied to residential customer under Schedule E-1.</w:t>
      </w:r>
      <w:r w:rsidR="00EE73F1">
        <w:t xml:space="preserve"> PG&amp;E does not have a</w:t>
      </w:r>
    </w:p>
    <w:p w:rsidR="00277246" w:rsidRDefault="00EE73F1" w:rsidP="0095740D">
      <w:pPr>
        <w:pStyle w:val="FootnoteText"/>
        <w:ind w:firstLine="720"/>
      </w:pPr>
      <w:r>
        <w:t>direct service multi-family tariff.</w:t>
      </w:r>
    </w:p>
  </w:footnote>
  <w:footnote w:id="2">
    <w:p w:rsidR="00277246" w:rsidRDefault="00277246" w:rsidP="004540AC">
      <w:pPr>
        <w:pStyle w:val="FootnoteText"/>
        <w:ind w:left="720"/>
      </w:pPr>
      <w:r>
        <w:rPr>
          <w:rStyle w:val="FootnoteReference"/>
        </w:rPr>
        <w:footnoteRef/>
      </w:r>
      <w:r>
        <w:t xml:space="preserve"> There are some distinctions based on </w:t>
      </w:r>
      <w:r w:rsidRPr="00277246">
        <w:t>geographical location in setting the baseline usage rates</w:t>
      </w:r>
      <w:r>
        <w:t xml:space="preserve"> that are not at issue in this proceeding. </w:t>
      </w:r>
      <w:r w:rsidRPr="00277246">
        <w:t xml:space="preserve"> </w:t>
      </w:r>
      <w:r>
        <w:t>PG&amp;E also offers Schedule EL-1 to qualifying low-income customers and again that rate is a universal residential rate that only makes a distinction among geographic location in setting the baseline rate.</w:t>
      </w:r>
    </w:p>
  </w:footnote>
  <w:footnote w:id="3">
    <w:p w:rsidR="00277246" w:rsidRDefault="00277246" w:rsidP="004540AC">
      <w:pPr>
        <w:pStyle w:val="FootnoteText"/>
        <w:ind w:left="720"/>
      </w:pPr>
      <w:r>
        <w:rPr>
          <w:rStyle w:val="FootnoteReference"/>
        </w:rPr>
        <w:footnoteRef/>
      </w:r>
      <w:r>
        <w:t xml:space="preserve"> As noted in supra footnote 1, the responsibility and authority to regulate wholesale transactions is reserved to the Federal Energy Regulatory Commission under the Federal Power Act.  </w:t>
      </w:r>
      <w:r w:rsidRPr="00000A69">
        <w:t>In fact, if this w</w:t>
      </w:r>
      <w:r>
        <w:t>ere</w:t>
      </w:r>
      <w:r w:rsidRPr="00000A69">
        <w:t xml:space="preserve"> a bulk power transaction, the roles would be reversed, and PG&amp;E would have to justify its cost of service for delivering power to the </w:t>
      </w:r>
      <w:r>
        <w:t xml:space="preserve">master-meter customer </w:t>
      </w:r>
      <w:r w:rsidRPr="00000A69">
        <w:t>rather than receiving a discount based on a residual o</w:t>
      </w:r>
      <w:r>
        <w:t>f PG&amp;E’s total residential rate</w:t>
      </w:r>
    </w:p>
  </w:footnote>
  <w:footnote w:id="4">
    <w:p w:rsidR="00277246" w:rsidRDefault="00277246" w:rsidP="004540AC">
      <w:pPr>
        <w:pStyle w:val="FootnoteText"/>
        <w:ind w:left="720"/>
      </w:pPr>
      <w:r>
        <w:rPr>
          <w:rStyle w:val="FootnoteReference"/>
        </w:rPr>
        <w:footnoteRef/>
      </w:r>
      <w:r>
        <w:t xml:space="preserve"> The discount that is realized by a master meter customer is the one published in the master meter tariff Schedule ET.  PG&amp;E’s residential rate structure was not changed significantly in the decision in dispute and thus master meter customers suffered the entire 79% reduction in the discount despite any claims to the contrary.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A06"/>
    <w:rsid w:val="00000A69"/>
    <w:rsid w:val="000038E6"/>
    <w:rsid w:val="00016425"/>
    <w:rsid w:val="00017A8A"/>
    <w:rsid w:val="00021B4E"/>
    <w:rsid w:val="00062FD6"/>
    <w:rsid w:val="00087F14"/>
    <w:rsid w:val="0011410E"/>
    <w:rsid w:val="00127426"/>
    <w:rsid w:val="001B1A67"/>
    <w:rsid w:val="001B6108"/>
    <w:rsid w:val="002025C3"/>
    <w:rsid w:val="00217243"/>
    <w:rsid w:val="00277246"/>
    <w:rsid w:val="00280E6E"/>
    <w:rsid w:val="00296864"/>
    <w:rsid w:val="002B2683"/>
    <w:rsid w:val="002B3FD1"/>
    <w:rsid w:val="002D1DC9"/>
    <w:rsid w:val="002D70FD"/>
    <w:rsid w:val="002E26D6"/>
    <w:rsid w:val="00302043"/>
    <w:rsid w:val="00342807"/>
    <w:rsid w:val="00343BE5"/>
    <w:rsid w:val="0034674B"/>
    <w:rsid w:val="003C222F"/>
    <w:rsid w:val="003D44D7"/>
    <w:rsid w:val="003F3730"/>
    <w:rsid w:val="00420C53"/>
    <w:rsid w:val="004540AC"/>
    <w:rsid w:val="00454A06"/>
    <w:rsid w:val="00470CA5"/>
    <w:rsid w:val="004F1805"/>
    <w:rsid w:val="00505575"/>
    <w:rsid w:val="00513A77"/>
    <w:rsid w:val="00534177"/>
    <w:rsid w:val="005424D4"/>
    <w:rsid w:val="005B3304"/>
    <w:rsid w:val="005E0D0A"/>
    <w:rsid w:val="00660D9E"/>
    <w:rsid w:val="00696007"/>
    <w:rsid w:val="006C2689"/>
    <w:rsid w:val="006E1E1A"/>
    <w:rsid w:val="006E45C8"/>
    <w:rsid w:val="006E6300"/>
    <w:rsid w:val="007075E3"/>
    <w:rsid w:val="007639F2"/>
    <w:rsid w:val="007B2B94"/>
    <w:rsid w:val="007F5967"/>
    <w:rsid w:val="00883DB2"/>
    <w:rsid w:val="008F438E"/>
    <w:rsid w:val="00913816"/>
    <w:rsid w:val="00941936"/>
    <w:rsid w:val="0095740D"/>
    <w:rsid w:val="00962F5D"/>
    <w:rsid w:val="00981500"/>
    <w:rsid w:val="009D10FE"/>
    <w:rsid w:val="00A146C0"/>
    <w:rsid w:val="00A26798"/>
    <w:rsid w:val="00A67E63"/>
    <w:rsid w:val="00A918E4"/>
    <w:rsid w:val="00B2283C"/>
    <w:rsid w:val="00BD4205"/>
    <w:rsid w:val="00C12813"/>
    <w:rsid w:val="00C4136C"/>
    <w:rsid w:val="00C43AB3"/>
    <w:rsid w:val="00C510CB"/>
    <w:rsid w:val="00C61406"/>
    <w:rsid w:val="00C63F6B"/>
    <w:rsid w:val="00C95693"/>
    <w:rsid w:val="00CA2A5C"/>
    <w:rsid w:val="00CC2C77"/>
    <w:rsid w:val="00CF0045"/>
    <w:rsid w:val="00D239D5"/>
    <w:rsid w:val="00D57918"/>
    <w:rsid w:val="00D93958"/>
    <w:rsid w:val="00DC03E9"/>
    <w:rsid w:val="00E12B47"/>
    <w:rsid w:val="00E4410F"/>
    <w:rsid w:val="00E57AA8"/>
    <w:rsid w:val="00EC7FBF"/>
    <w:rsid w:val="00EE73F1"/>
    <w:rsid w:val="00F033F1"/>
    <w:rsid w:val="00F24C06"/>
    <w:rsid w:val="00F34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43AB3"/>
    <w:pPr>
      <w:framePr w:w="7920" w:h="1980" w:hRule="exact" w:hSpace="180" w:wrap="auto" w:hAnchor="page" w:xAlign="center" w:yAlign="bottom"/>
      <w:spacing w:after="0" w:line="240" w:lineRule="auto"/>
      <w:ind w:left="2880"/>
    </w:pPr>
    <w:rPr>
      <w:rFonts w:ascii="Calibri" w:eastAsiaTheme="majorEastAsia" w:hAnsi="Calibri" w:cstheme="majorBidi"/>
      <w:sz w:val="24"/>
      <w:szCs w:val="24"/>
    </w:rPr>
  </w:style>
  <w:style w:type="paragraph" w:styleId="FootnoteText">
    <w:name w:val="footnote text"/>
    <w:basedOn w:val="Normal"/>
    <w:link w:val="FootnoteTextChar"/>
    <w:uiPriority w:val="99"/>
    <w:unhideWhenUsed/>
    <w:rsid w:val="00000A69"/>
    <w:pPr>
      <w:spacing w:after="0" w:line="240" w:lineRule="auto"/>
    </w:pPr>
    <w:rPr>
      <w:sz w:val="20"/>
      <w:szCs w:val="20"/>
    </w:rPr>
  </w:style>
  <w:style w:type="character" w:customStyle="1" w:styleId="FootnoteTextChar">
    <w:name w:val="Footnote Text Char"/>
    <w:basedOn w:val="DefaultParagraphFont"/>
    <w:link w:val="FootnoteText"/>
    <w:uiPriority w:val="99"/>
    <w:rsid w:val="00000A69"/>
    <w:rPr>
      <w:sz w:val="20"/>
      <w:szCs w:val="20"/>
    </w:rPr>
  </w:style>
  <w:style w:type="character" w:styleId="FootnoteReference">
    <w:name w:val="footnote reference"/>
    <w:basedOn w:val="DefaultParagraphFont"/>
    <w:uiPriority w:val="99"/>
    <w:semiHidden/>
    <w:unhideWhenUsed/>
    <w:rsid w:val="00000A69"/>
    <w:rPr>
      <w:vertAlign w:val="superscript"/>
    </w:rPr>
  </w:style>
  <w:style w:type="paragraph" w:styleId="Header">
    <w:name w:val="header"/>
    <w:basedOn w:val="Normal"/>
    <w:link w:val="HeaderChar"/>
    <w:uiPriority w:val="99"/>
    <w:semiHidden/>
    <w:unhideWhenUsed/>
    <w:rsid w:val="00021B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1B4E"/>
  </w:style>
  <w:style w:type="paragraph" w:styleId="Footer">
    <w:name w:val="footer"/>
    <w:basedOn w:val="Normal"/>
    <w:link w:val="FooterChar"/>
    <w:uiPriority w:val="99"/>
    <w:unhideWhenUsed/>
    <w:rsid w:val="00021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B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43AB3"/>
    <w:pPr>
      <w:framePr w:w="7920" w:h="1980" w:hRule="exact" w:hSpace="180" w:wrap="auto" w:hAnchor="page" w:xAlign="center" w:yAlign="bottom"/>
      <w:spacing w:after="0" w:line="240" w:lineRule="auto"/>
      <w:ind w:left="2880"/>
    </w:pPr>
    <w:rPr>
      <w:rFonts w:ascii="Calibri" w:eastAsiaTheme="majorEastAsia" w:hAnsi="Calibri" w:cstheme="majorBidi"/>
      <w:sz w:val="24"/>
      <w:szCs w:val="24"/>
    </w:rPr>
  </w:style>
  <w:style w:type="paragraph" w:styleId="FootnoteText">
    <w:name w:val="footnote text"/>
    <w:basedOn w:val="Normal"/>
    <w:link w:val="FootnoteTextChar"/>
    <w:uiPriority w:val="99"/>
    <w:unhideWhenUsed/>
    <w:rsid w:val="00000A69"/>
    <w:pPr>
      <w:spacing w:after="0" w:line="240" w:lineRule="auto"/>
    </w:pPr>
    <w:rPr>
      <w:sz w:val="20"/>
      <w:szCs w:val="20"/>
    </w:rPr>
  </w:style>
  <w:style w:type="character" w:customStyle="1" w:styleId="FootnoteTextChar">
    <w:name w:val="Footnote Text Char"/>
    <w:basedOn w:val="DefaultParagraphFont"/>
    <w:link w:val="FootnoteText"/>
    <w:uiPriority w:val="99"/>
    <w:rsid w:val="00000A69"/>
    <w:rPr>
      <w:sz w:val="20"/>
      <w:szCs w:val="20"/>
    </w:rPr>
  </w:style>
  <w:style w:type="character" w:styleId="FootnoteReference">
    <w:name w:val="footnote reference"/>
    <w:basedOn w:val="DefaultParagraphFont"/>
    <w:uiPriority w:val="99"/>
    <w:semiHidden/>
    <w:unhideWhenUsed/>
    <w:rsid w:val="00000A69"/>
    <w:rPr>
      <w:vertAlign w:val="superscript"/>
    </w:rPr>
  </w:style>
  <w:style w:type="paragraph" w:styleId="Header">
    <w:name w:val="header"/>
    <w:basedOn w:val="Normal"/>
    <w:link w:val="HeaderChar"/>
    <w:uiPriority w:val="99"/>
    <w:semiHidden/>
    <w:unhideWhenUsed/>
    <w:rsid w:val="00021B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1B4E"/>
  </w:style>
  <w:style w:type="paragraph" w:styleId="Footer">
    <w:name w:val="footer"/>
    <w:basedOn w:val="Normal"/>
    <w:link w:val="FooterChar"/>
    <w:uiPriority w:val="99"/>
    <w:unhideWhenUsed/>
    <w:rsid w:val="00021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25FDF3-C247-4E46-AFF3-9551E12C0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4173</Words>
  <Characters>23789</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Eboli</dc:creator>
  <cp:lastModifiedBy>Sheila</cp:lastModifiedBy>
  <cp:revision>2</cp:revision>
  <cp:lastPrinted>2012-09-21T18:23:00Z</cp:lastPrinted>
  <dcterms:created xsi:type="dcterms:W3CDTF">2012-10-02T18:28:00Z</dcterms:created>
  <dcterms:modified xsi:type="dcterms:W3CDTF">2012-10-02T18:28:00Z</dcterms:modified>
</cp:coreProperties>
</file>